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74E55">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503756</w:t>
      </w:r>
      <w:bookmarkStart w:id="11" w:name="_GoBack"/>
      <w:bookmarkEnd w:id="11"/>
      <w:r>
        <w:rPr>
          <w:rFonts w:hint="eastAsia"/>
          <w:b/>
          <w:sz w:val="24"/>
          <w:szCs w:val="24"/>
          <w:highlight w:val="none"/>
        </w:rPr>
        <w:t xml:space="preserve">   </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29DC69B0">
      <w:pPr>
        <w:tabs>
          <w:tab w:val="left" w:pos="1985"/>
        </w:tabs>
        <w:rPr>
          <w:rFonts w:ascii="Times New Roman" w:hAnsi="Times New Roman"/>
          <w:b/>
          <w:sz w:val="22"/>
          <w:highlight w:val="none"/>
        </w:rPr>
      </w:pPr>
    </w:p>
    <w:p w14:paraId="7C90EE4D">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22</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0D871BC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E5E5EF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other RRM requirements for NR MIMO Phase 5</w:t>
      </w:r>
    </w:p>
    <w:bookmarkEnd w:id="4"/>
    <w:bookmarkEnd w:id="5"/>
    <w:p w14:paraId="345B652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764D82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D0AC0B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14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4D08AFC">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E1F888A">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589245C">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338C5A14">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065544F5">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3549BDA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2A95435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95041C1">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F8FB97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681C4513">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B73B0E7">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40784E11">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1042057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17129730">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1F3C259A">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6B5D8A9B">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18A4019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5D0CE35D">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BCD3C9C">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045BD897">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04DEFA38">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C214B3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1FACA9B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55F2789F">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1D42141F">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3DA10B2">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48E022C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07BD14CB">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5F39D46A">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607E7D4A">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2215D27D">
            <w:pPr>
              <w:snapToGrid w:val="0"/>
              <w:spacing w:before="120" w:beforeLines="50" w:after="0"/>
              <w:jc w:val="both"/>
              <w:rPr>
                <w:rFonts w:hint="default" w:ascii="Times New Roman" w:hAnsi="Times New Roman" w:cs="Times New Roman"/>
                <w:bCs/>
                <w:sz w:val="20"/>
                <w:szCs w:val="20"/>
                <w:lang w:val="en-US"/>
              </w:rPr>
            </w:pPr>
          </w:p>
          <w:p w14:paraId="74437547">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1118884B">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1AB87206">
            <w:pPr>
              <w:spacing w:after="0"/>
              <w:rPr>
                <w:rFonts w:hint="default" w:ascii="Times New Roman" w:hAnsi="Times New Roman" w:cs="Times New Roman"/>
                <w:sz w:val="20"/>
                <w:szCs w:val="20"/>
                <w:lang w:eastAsia="ko-KR"/>
              </w:rPr>
            </w:pPr>
          </w:p>
          <w:p w14:paraId="4CE9DFE2">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0D8DD8B4">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6D602D6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998C60A">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NR MIMO Phase 5,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requirements on UE reporting enhancement for CJT calibration and enhancements for asymmetric DL sTRP/UL mTRP scenarios</w:t>
      </w:r>
      <w:r>
        <w:rPr>
          <w:rFonts w:hint="eastAsia" w:ascii="Times New Roman" w:hAnsi="Times New Roman"/>
          <w:bCs/>
          <w:iCs/>
          <w:sz w:val="20"/>
          <w:szCs w:val="20"/>
        </w:rPr>
        <w:t>.</w:t>
      </w:r>
    </w:p>
    <w:p w14:paraId="5A1FE4B1">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1"/>
      <w:bookmarkStart w:id="10" w:name="OLE_LINK2"/>
      <w:r>
        <w:rPr>
          <w:rFonts w:ascii="Times New Roman" w:hAnsi="Times New Roman"/>
          <w:i/>
          <w:sz w:val="20"/>
          <w:szCs w:val="20"/>
        </w:rPr>
        <w:t xml:space="preserve"> </w:t>
      </w:r>
    </w:p>
    <w:p w14:paraId="2753A815">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b/>
          <w:bCs/>
          <w:sz w:val="20"/>
          <w:szCs w:val="20"/>
          <w:lang w:val="en-US" w:eastAsia="zh-CN"/>
        </w:rPr>
        <w:t>2.1 UE reporting enhancement for CJT calibration</w:t>
      </w:r>
    </w:p>
    <w:p w14:paraId="4F708B22">
      <w:pPr>
        <w:tabs>
          <w:tab w:val="left" w:pos="1134"/>
        </w:tabs>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RAN1 agreements on UE reporting enhancement for CJT deployments which may have RAN4 impacts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E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D45080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RAN1#116</w:t>
            </w:r>
          </w:p>
          <w:p w14:paraId="69CEF7DE">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cs="Times New Roman"/>
                <w:bCs/>
                <w:sz w:val="20"/>
                <w:szCs w:val="20"/>
                <w:lang w:val="en-CA" w:eastAsia="zh-CN"/>
              </w:rPr>
              <w:t xml:space="preserve"> the following use cases are assumed:</w:t>
            </w:r>
          </w:p>
          <w:p w14:paraId="3DBAD2D9">
            <w:pPr>
              <w:numPr>
                <w:ilvl w:val="0"/>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For per-TRP delay offset reporting:</w:t>
            </w:r>
          </w:p>
          <w:p w14:paraId="74002531">
            <w:pPr>
              <w:numPr>
                <w:ilvl w:val="1"/>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1.1: TRP selection</w:t>
            </w:r>
          </w:p>
          <w:p w14:paraId="5653EC32">
            <w:pPr>
              <w:numPr>
                <w:ilvl w:val="1"/>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1.2: delay offset compensation for at least one TRP to ensure the CJT-composite delay spread doesn’t exceed a pre-defined dynamic range/threshold</w:t>
            </w:r>
          </w:p>
          <w:p w14:paraId="3A4294A9">
            <w:pPr>
              <w:numPr>
                <w:ilvl w:val="0"/>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For per-TRP frequency offset (FO) reporting:</w:t>
            </w:r>
          </w:p>
          <w:p w14:paraId="78CD3F95">
            <w:pPr>
              <w:numPr>
                <w:ilvl w:val="1"/>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2.1: TRP selection</w:t>
            </w:r>
          </w:p>
          <w:p w14:paraId="43E56464">
            <w:pPr>
              <w:numPr>
                <w:ilvl w:val="1"/>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 xml:space="preserve">Use case 2.2: per-TRP FO compensation at NW side </w:t>
            </w:r>
          </w:p>
          <w:p w14:paraId="31854F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B4A3DF7">
            <w:pPr>
              <w:snapToGrid w:val="0"/>
              <w:ind w:left="0" w:firstLine="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For the Rel-19 aperiodic standalone CJT calibration reporting, given the N</w:t>
            </w:r>
            <w:r>
              <w:rPr>
                <w:rFonts w:hint="default" w:ascii="Times New Roman" w:hAnsi="Times New Roman" w:eastAsia="Calibri" w:cs="Times New Roman"/>
                <w:sz w:val="20"/>
                <w:szCs w:val="20"/>
                <w:highlight w:val="none"/>
                <w:vertAlign w:val="subscript"/>
              </w:rPr>
              <w:t>TRP</w:t>
            </w:r>
            <w:r>
              <w:rPr>
                <w:rFonts w:hint="default" w:ascii="Times New Roman" w:hAnsi="Times New Roman" w:eastAsia="Calibri" w:cs="Times New Roman"/>
                <w:sz w:val="20"/>
                <w:szCs w:val="20"/>
                <w:highlight w:val="none"/>
              </w:rPr>
              <w:t xml:space="preserve"> configured NZP CSI-RS resources/resource sets and the selected N resources/resource sets, support reporting, in one CSI reporting instance, {(D</w:t>
            </w:r>
            <w:r>
              <w:rPr>
                <w:rFonts w:hint="default" w:ascii="Times New Roman" w:hAnsi="Times New Roman" w:eastAsia="Calibri" w:cs="Times New Roman"/>
                <w:sz w:val="20"/>
                <w:szCs w:val="20"/>
                <w:highlight w:val="none"/>
                <w:vertAlign w:val="subscript"/>
              </w:rPr>
              <w:t>n,offset</w:t>
            </w:r>
            <w:r>
              <w:rPr>
                <w:rFonts w:hint="default" w:ascii="Times New Roman" w:hAnsi="Times New Roman" w:eastAsia="Calibri" w:cs="Times New Roman"/>
                <w:sz w:val="20"/>
                <w:szCs w:val="20"/>
                <w:highlight w:val="none"/>
              </w:rPr>
              <w:t>, d</w:t>
            </w:r>
            <w:r>
              <w:rPr>
                <w:rFonts w:hint="default" w:ascii="Times New Roman" w:hAnsi="Times New Roman" w:eastAsia="Calibri" w:cs="Times New Roman"/>
                <w:sz w:val="20"/>
                <w:szCs w:val="20"/>
                <w:highlight w:val="none"/>
                <w:vertAlign w:val="subscript"/>
              </w:rPr>
              <w:t>n</w:t>
            </w:r>
            <w:r>
              <w:rPr>
                <w:rFonts w:hint="default" w:ascii="Times New Roman" w:hAnsi="Times New Roman" w:eastAsia="Calibri" w:cs="Times New Roman"/>
                <w:sz w:val="20"/>
                <w:szCs w:val="20"/>
                <w:highlight w:val="none"/>
              </w:rPr>
              <w:t>), n=0, 1, …, N – 1} where</w:t>
            </w:r>
          </w:p>
          <w:p w14:paraId="1233875C">
            <w:pPr>
              <w:numPr>
                <w:ilvl w:val="0"/>
                <w:numId w:val="8"/>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D</w:t>
            </w:r>
            <w:r>
              <w:rPr>
                <w:rFonts w:hint="default" w:ascii="Times New Roman" w:hAnsi="Times New Roman" w:eastAsia="Calibri" w:cs="Times New Roman"/>
                <w:sz w:val="20"/>
                <w:szCs w:val="20"/>
                <w:highlight w:val="none"/>
                <w:vertAlign w:val="subscript"/>
              </w:rPr>
              <w:t>n,offset</w:t>
            </w:r>
            <w:r>
              <w:rPr>
                <w:rFonts w:hint="default" w:ascii="Times New Roman" w:hAnsi="Times New Roman" w:eastAsia="Calibri" w:cs="Times New Roman"/>
                <w:sz w:val="20"/>
                <w:szCs w:val="20"/>
                <w:highlight w:val="none"/>
              </w:rPr>
              <w:t xml:space="preserve"> is a B-bit indicator representing the delay offset associated with the n-th CSI-RS resource/resource set</w:t>
            </w:r>
          </w:p>
          <w:p w14:paraId="64B7B0F2">
            <w:pPr>
              <w:numPr>
                <w:ilvl w:val="1"/>
                <w:numId w:val="8"/>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For the reference CSI-RS resource/resource set nref, the value of D</w:t>
            </w:r>
            <w:r>
              <w:rPr>
                <w:rFonts w:hint="default" w:ascii="Times New Roman" w:hAnsi="Times New Roman" w:eastAsia="Calibri" w:cs="Times New Roman"/>
                <w:sz w:val="20"/>
                <w:szCs w:val="20"/>
                <w:highlight w:val="none"/>
                <w:vertAlign w:val="subscript"/>
              </w:rPr>
              <w:t>nref,offset</w:t>
            </w:r>
            <w:r>
              <w:rPr>
                <w:rFonts w:hint="default" w:ascii="Times New Roman" w:hAnsi="Times New Roman" w:eastAsia="Calibri" w:cs="Times New Roman"/>
                <w:sz w:val="20"/>
                <w:szCs w:val="20"/>
                <w:highlight w:val="none"/>
              </w:rPr>
              <w:t xml:space="preserve"> is assumed 0 and not reported</w:t>
            </w:r>
          </w:p>
          <w:p w14:paraId="7E2BB3C2">
            <w:pPr>
              <w:numPr>
                <w:ilvl w:val="0"/>
                <w:numId w:val="8"/>
              </w:numPr>
              <w:snapToGrid w:val="0"/>
              <w:rPr>
                <w:rFonts w:hint="default" w:ascii="Times New Roman" w:hAnsi="Times New Roman" w:eastAsia="Calibri" w:cs="Times New Roman"/>
                <w:sz w:val="20"/>
                <w:szCs w:val="20"/>
                <w:highlight w:val="none"/>
              </w:rPr>
            </w:pPr>
            <w:r>
              <w:rPr>
                <w:rFonts w:hint="default" w:ascii="Times New Roman" w:hAnsi="Times New Roman" w:eastAsia="Calibri" w:cs="Times New Roman"/>
                <w:sz w:val="20"/>
                <w:szCs w:val="20"/>
                <w:highlight w:val="none"/>
              </w:rPr>
              <w:t>d</w:t>
            </w:r>
            <w:r>
              <w:rPr>
                <w:rFonts w:hint="default" w:ascii="Times New Roman" w:hAnsi="Times New Roman" w:eastAsia="Calibri" w:cs="Times New Roman"/>
                <w:sz w:val="20"/>
                <w:szCs w:val="20"/>
                <w:highlight w:val="none"/>
                <w:vertAlign w:val="subscript"/>
              </w:rPr>
              <w:t xml:space="preserve">n </w:t>
            </w:r>
            <w:r>
              <w:rPr>
                <w:rFonts w:hint="default" w:ascii="Times New Roman" w:hAnsi="Times New Roman" w:eastAsia="Calibri" w:cs="Times New Roman"/>
                <w:sz w:val="20"/>
                <w:szCs w:val="20"/>
                <w:highlight w:val="none"/>
              </w:rPr>
              <w:t>is a 1-bit indicator associated with the n-th CSI-RS resource/resource set, indicating whether the measured delay offset, plus delay spread, is inside or outside a pre-defined range/interval</w:t>
            </w:r>
          </w:p>
          <w:p w14:paraId="1DC7080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5CCFF703">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cs="Times New Roman"/>
                <w:bCs/>
                <w:sz w:val="20"/>
                <w:szCs w:val="20"/>
                <w:lang w:val="en-CA" w:eastAsia="zh-CN"/>
              </w:rPr>
              <w:t xml:space="preserve"> in addition to the already agreed use cases, the following use cases are assumed:</w:t>
            </w:r>
          </w:p>
          <w:p w14:paraId="38347D27">
            <w:pPr>
              <w:numPr>
                <w:ilvl w:val="0"/>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 xml:space="preserve"> For per-TRP DL/UL Rx-Tx phase misalignment reporting: </w:t>
            </w:r>
          </w:p>
          <w:p w14:paraId="5E777F41">
            <w:pPr>
              <w:numPr>
                <w:ilvl w:val="1"/>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3.1: TRP selection</w:t>
            </w:r>
          </w:p>
          <w:p w14:paraId="51CD21DD">
            <w:pPr>
              <w:numPr>
                <w:ilvl w:val="1"/>
                <w:numId w:val="7"/>
              </w:numPr>
              <w:snapToGrid w:val="0"/>
              <w:rPr>
                <w:rFonts w:hint="default" w:ascii="Times New Roman" w:hAnsi="Times New Roman" w:cs="Times New Roman"/>
                <w:bCs/>
                <w:sz w:val="20"/>
                <w:szCs w:val="20"/>
                <w:lang w:val="en-CA" w:eastAsia="zh-CN"/>
              </w:rPr>
            </w:pPr>
            <w:r>
              <w:rPr>
                <w:rFonts w:hint="default" w:ascii="Times New Roman" w:hAnsi="Times New Roman" w:cs="Times New Roman"/>
                <w:bCs/>
                <w:sz w:val="20"/>
                <w:szCs w:val="20"/>
                <w:lang w:val="en-CA" w:eastAsia="zh-CN"/>
              </w:rPr>
              <w:t>Use case 3.2: per-TRP DL/UL Rx-Tx phase compensation at NW side for reciprocity (e.g. using both CSI-RS and SRS for measurement)</w:t>
            </w:r>
          </w:p>
          <w:p w14:paraId="1232BCB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AFF6AD7">
            <w:pPr>
              <w:snapToGrid w:val="0"/>
              <w:ind w:left="0" w:firstLine="0"/>
              <w:rPr>
                <w:rFonts w:hint="default" w:ascii="Times New Roman" w:hAnsi="Times New Roman" w:eastAsia="Calibri" w:cs="Times New Roman"/>
                <w:sz w:val="20"/>
                <w:szCs w:val="20"/>
              </w:rPr>
            </w:pPr>
            <w:r>
              <w:rPr>
                <w:rFonts w:hint="default" w:ascii="Times New Roman" w:hAnsi="Times New Roman" w:eastAsia="Calibri" w:cs="Times New Roman"/>
                <w:sz w:val="20"/>
                <w:szCs w:val="20"/>
              </w:rPr>
              <w:t>For the Rel-19 aperiodic standalone CJT calibration reporting, given the N</w:t>
            </w:r>
            <w:r>
              <w:rPr>
                <w:rFonts w:hint="default" w:ascii="Times New Roman" w:hAnsi="Times New Roman" w:eastAsia="Calibri" w:cs="Times New Roman"/>
                <w:sz w:val="20"/>
                <w:szCs w:val="20"/>
                <w:vertAlign w:val="subscript"/>
              </w:rPr>
              <w:t>TRP</w:t>
            </w:r>
            <w:r>
              <w:rPr>
                <w:rFonts w:hint="default" w:ascii="Times New Roman" w:hAnsi="Times New Roman" w:eastAsia="Calibri" w:cs="Times New Roman"/>
                <w:sz w:val="20"/>
                <w:szCs w:val="20"/>
              </w:rPr>
              <w:t xml:space="preserve"> configured NZP CSI-RS resources/resource sets and the selected N resources/resource sets, support reporting, in one CSI reporting instance, {FO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 n=0, 1, …, N – 1, n≠nref}, where 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denotes the measured frequency offset associated with the n-th CSI-RS resource/resource set relative to the reference CSI-RS resource/resource set nref</w:t>
            </w:r>
          </w:p>
          <w:p w14:paraId="0F37B8D7">
            <w:pPr>
              <w:numPr>
                <w:ilvl w:val="0"/>
                <w:numId w:val="8"/>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For the reference CSI-RS resource/resource set nref, the value of FO</w:t>
            </w:r>
            <w:r>
              <w:rPr>
                <w:rFonts w:hint="default" w:ascii="Times New Roman" w:hAnsi="Times New Roman" w:eastAsia="Calibri" w:cs="Times New Roman"/>
                <w:sz w:val="20"/>
                <w:szCs w:val="20"/>
                <w:vertAlign w:val="subscript"/>
                <w:lang w:eastAsia="zh-CN"/>
              </w:rPr>
              <w:t>nref</w:t>
            </w:r>
            <w:r>
              <w:rPr>
                <w:rFonts w:hint="default" w:ascii="Times New Roman" w:hAnsi="Times New Roman" w:eastAsia="Calibri" w:cs="Times New Roman"/>
                <w:sz w:val="20"/>
                <w:szCs w:val="20"/>
                <w:lang w:eastAsia="zh-CN"/>
              </w:rPr>
              <w:t xml:space="preserve"> is assumed 0 and not reported</w:t>
            </w:r>
          </w:p>
          <w:p w14:paraId="4E1E5A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03DB59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RAN1#116bis</w:t>
            </w:r>
          </w:p>
          <w:p w14:paraId="2B87BDB8">
            <w:pPr>
              <w:snapToGrid w:val="0"/>
              <w:ind w:left="0" w:firstLine="0"/>
              <w:rPr>
                <w:rFonts w:hint="default" w:ascii="Times New Roman" w:hAnsi="Times New Roman" w:eastAsia="等线" w:cs="Times New Roman"/>
                <w:sz w:val="20"/>
                <w:szCs w:val="20"/>
                <w:lang w:eastAsia="zh-CN"/>
              </w:rPr>
            </w:pPr>
            <w:r>
              <w:rPr>
                <w:rFonts w:hint="default" w:ascii="Times New Roman" w:hAnsi="Times New Roman" w:eastAsia="Calibri" w:cs="Times New Roman"/>
                <w:sz w:val="20"/>
                <w:szCs w:val="20"/>
              </w:rPr>
              <w:t>For the Rel-19 aperiodic standalone CJT calibration reporting, given the N</w:t>
            </w:r>
            <w:r>
              <w:rPr>
                <w:rFonts w:hint="default" w:ascii="Times New Roman" w:hAnsi="Times New Roman" w:eastAsia="Calibri" w:cs="Times New Roman"/>
                <w:sz w:val="20"/>
                <w:szCs w:val="20"/>
                <w:vertAlign w:val="subscript"/>
              </w:rPr>
              <w:t>TRP</w:t>
            </w:r>
            <w:r>
              <w:rPr>
                <w:rFonts w:hint="default" w:ascii="Times New Roman" w:hAnsi="Times New Roman" w:eastAsia="Calibri" w:cs="Times New Roman"/>
                <w:sz w:val="20"/>
                <w:szCs w:val="20"/>
              </w:rPr>
              <w:t xml:space="preserve"> configured NZP CSI-RS resources/resource sets and the selected N resources/resource sets, support reporting, in one CSI reporting instance,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rPr>
              <w:t xml:space="preserve">, n=0, 1, …, N – 1, n≠nref, </w:t>
            </w:r>
            <w:r>
              <w:rPr>
                <w:rFonts w:hint="default" w:ascii="Symbol" w:hAnsi="Symbol" w:eastAsia="等线" w:cs="Symbol"/>
                <w:sz w:val="20"/>
                <w:szCs w:val="20"/>
                <w:lang w:eastAsia="zh-CN"/>
              </w:rPr>
              <w:t></w:t>
            </w:r>
            <w:r>
              <w:rPr>
                <w:rFonts w:hint="default" w:ascii="Times New Roman" w:hAnsi="Times New Roman" w:eastAsia="等线" w:cs="Times New Roman"/>
                <w:sz w:val="20"/>
                <w:szCs w:val="20"/>
                <w:lang w:eastAsia="zh-CN"/>
              </w:rPr>
              <w:t>=0,1,…</w:t>
            </w:r>
            <w:r>
              <w:rPr>
                <w:rFonts w:hint="default" w:ascii="Symbol" w:hAnsi="Symbol" w:eastAsia="等线" w:cs="Symbol"/>
                <w:sz w:val="20"/>
                <w:szCs w:val="20"/>
                <w:highlight w:val="none"/>
                <w:lang w:eastAsia="zh-CN"/>
              </w:rPr>
              <w:t>,-1</w:t>
            </w:r>
            <w:r>
              <w:rPr>
                <w:rFonts w:hint="default" w:ascii="Times New Roman" w:hAnsi="Times New Roman" w:eastAsia="Calibri" w:cs="Times New Roman"/>
                <w:sz w:val="20"/>
                <w:szCs w:val="20"/>
              </w:rPr>
              <w:t>}, where</w:t>
            </w:r>
            <w:r>
              <w:rPr>
                <w:rFonts w:hint="default" w:ascii="Symbol" w:hAnsi="Symbol" w:eastAsia="Calibri" w:cs="Symbol"/>
                <w:sz w:val="20"/>
                <w:szCs w:val="20"/>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Symbol" w:hAnsi="Symbol" w:eastAsia="Calibri" w:cs="Symbol"/>
                <w:sz w:val="20"/>
                <w:szCs w:val="20"/>
              </w:rPr>
              <w:t xml:space="preserve"> </w:t>
            </w:r>
            <w:r>
              <w:rPr>
                <w:rFonts w:hint="default" w:ascii="Times New Roman" w:hAnsi="Times New Roman" w:eastAsia="Calibri" w:cs="Times New Roman"/>
                <w:sz w:val="20"/>
                <w:szCs w:val="20"/>
              </w:rPr>
              <w:t>denotes the measured</w:t>
            </w:r>
            <w:r>
              <w:rPr>
                <w:rFonts w:hint="default" w:ascii="Times New Roman" w:hAnsi="Times New Roman" w:eastAsia="Calibri" w:cs="Times New Roman"/>
                <w:color w:val="FF0000"/>
                <w:sz w:val="20"/>
                <w:szCs w:val="20"/>
              </w:rPr>
              <w:t xml:space="preserve"> </w:t>
            </w:r>
            <w:r>
              <w:rPr>
                <w:rFonts w:hint="default" w:ascii="Times New Roman" w:hAnsi="Times New Roman" w:eastAsia="Calibri" w:cs="Times New Roman"/>
                <w:sz w:val="20"/>
                <w:szCs w:val="20"/>
              </w:rPr>
              <w:t xml:space="preserve">phase offset between the n-th CSI-RS resource/resource set and the reference CSI-RS resource/resource set nref for the </w:t>
            </w:r>
            <w:r>
              <w:rPr>
                <w:rFonts w:hint="default" w:ascii="Symbol" w:hAnsi="Symbol" w:eastAsia="等线" w:cs="Symbol"/>
                <w:sz w:val="20"/>
                <w:szCs w:val="20"/>
                <w:lang w:eastAsia="zh-CN"/>
              </w:rPr>
              <w:t></w:t>
            </w:r>
            <w:r>
              <w:rPr>
                <w:rFonts w:hint="default" w:ascii="Times New Roman" w:hAnsi="Times New Roman" w:eastAsia="Calibri" w:cs="Times New Roman"/>
                <w:sz w:val="20"/>
                <w:szCs w:val="20"/>
              </w:rPr>
              <w:t>-th frequency unit</w:t>
            </w:r>
            <w:r>
              <w:rPr>
                <w:rFonts w:hint="default" w:ascii="Times New Roman" w:hAnsi="Times New Roman" w:eastAsia="等线" w:cs="Times New Roman"/>
                <w:sz w:val="20"/>
                <w:szCs w:val="20"/>
                <w:lang w:eastAsia="zh-CN"/>
              </w:rPr>
              <w:t xml:space="preserve"> </w:t>
            </w:r>
          </w:p>
          <w:p w14:paraId="5798C192">
            <w:pPr>
              <w:numPr>
                <w:ilvl w:val="0"/>
                <w:numId w:val="8"/>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The value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Symbol" w:hAnsi="Symbol" w:eastAsia="Calibri" w:cs="Symbol"/>
                <w:sz w:val="20"/>
                <w:szCs w:val="20"/>
                <w:lang w:eastAsia="zh-CN"/>
              </w:rPr>
              <w:t xml:space="preserve"> </w:t>
            </w:r>
            <w:r>
              <w:rPr>
                <w:rFonts w:hint="default" w:ascii="Times New Roman" w:hAnsi="Times New Roman" w:eastAsia="Calibri" w:cs="Times New Roman"/>
                <w:sz w:val="20"/>
                <w:szCs w:val="20"/>
                <w:lang w:eastAsia="zh-CN"/>
              </w:rPr>
              <w:t>indicates a uniformly quantized phase between</w:t>
            </w:r>
            <w:r>
              <w:rPr>
                <w:rFonts w:hint="default" w:ascii="Symbol" w:hAnsi="Symbol" w:eastAsia="Calibri" w:cs="Symbol"/>
                <w:sz w:val="20"/>
                <w:szCs w:val="20"/>
                <w:lang w:eastAsia="zh-CN"/>
              </w:rPr>
              <w:t xml:space="preserve"> –A</w:t>
            </w:r>
            <w:r>
              <w:rPr>
                <w:rFonts w:hint="default" w:ascii="Symbol" w:hAnsi="Symbol" w:eastAsia="Calibri" w:cs="Symbol"/>
                <w:sz w:val="20"/>
                <w:szCs w:val="20"/>
                <w:vertAlign w:val="subscript"/>
                <w:lang w:eastAsia="zh-CN"/>
              </w:rPr>
              <w:t></w:t>
            </w:r>
            <w:r>
              <w:rPr>
                <w:rFonts w:hint="default" w:ascii="Symbol" w:hAnsi="Symbol" w:eastAsia="Calibri" w:cs="Symbol"/>
                <w:sz w:val="20"/>
                <w:szCs w:val="20"/>
                <w:lang w:eastAsia="zh-CN"/>
              </w:rPr>
              <w:t xml:space="preserve"> </w:t>
            </w:r>
            <w:r>
              <w:rPr>
                <w:rFonts w:hint="default" w:ascii="Times New Roman" w:hAnsi="Times New Roman" w:eastAsia="Calibri" w:cs="Times New Roman"/>
                <w:sz w:val="20"/>
                <w:szCs w:val="20"/>
                <w:lang w:eastAsia="zh-CN"/>
              </w:rPr>
              <w:t xml:space="preserve">and </w:t>
            </w:r>
            <w:r>
              <w:rPr>
                <w:rFonts w:hint="default" w:ascii="Symbol" w:hAnsi="Symbol" w:eastAsia="Calibri" w:cs="Symbol"/>
                <w:color w:val="000000"/>
                <w:sz w:val="20"/>
                <w:szCs w:val="20"/>
                <w:lang w:eastAsia="zh-CN"/>
              </w:rPr>
              <w:t>A</w:t>
            </w:r>
            <w:r>
              <w:rPr>
                <w:rFonts w:hint="default" w:ascii="Symbol" w:hAnsi="Symbol" w:eastAsia="Calibri" w:cs="Symbol"/>
                <w:color w:val="000000"/>
                <w:sz w:val="20"/>
                <w:szCs w:val="20"/>
                <w:vertAlign w:val="subscript"/>
                <w:lang w:eastAsia="zh-CN"/>
              </w:rPr>
              <w:t></w:t>
            </w:r>
            <w:r>
              <w:rPr>
                <w:rFonts w:hint="default" w:ascii="Symbol" w:hAnsi="Symbol" w:cs="Symbol"/>
                <w:color w:val="000000"/>
                <w:sz w:val="20"/>
                <w:szCs w:val="20"/>
                <w:vertAlign w:val="subscript"/>
                <w:lang w:eastAsia="zh-CN"/>
              </w:rPr>
              <w:t></w:t>
            </w:r>
            <w:r>
              <w:rPr>
                <w:rFonts w:hint="default" w:ascii="Times New Roman" w:hAnsi="Times New Roman" w:cs="Times New Roman"/>
                <w:color w:val="000000"/>
                <w:sz w:val="20"/>
                <w:szCs w:val="20"/>
                <w:lang w:eastAsia="zh-CN"/>
              </w:rPr>
              <w:t>, or 0</w:t>
            </w:r>
            <w:r>
              <w:rPr>
                <w:rFonts w:hint="default" w:ascii="Times New Roman" w:hAnsi="Times New Roman" w:eastAsia="Calibri" w:cs="Times New Roman"/>
                <w:color w:val="000000"/>
                <w:sz w:val="20"/>
                <w:szCs w:val="20"/>
                <w:lang w:eastAsia="zh-CN"/>
              </w:rPr>
              <w:t xml:space="preserve"> and </w:t>
            </w:r>
            <w:r>
              <w:rPr>
                <w:rFonts w:hint="default" w:ascii="Symbol" w:hAnsi="Symbol" w:eastAsia="Calibri" w:cs="Symbol"/>
                <w:color w:val="000000"/>
                <w:sz w:val="20"/>
                <w:szCs w:val="20"/>
                <w:lang w:eastAsia="zh-CN"/>
              </w:rPr>
              <w:t>A</w:t>
            </w:r>
            <w:r>
              <w:rPr>
                <w:rFonts w:hint="default" w:ascii="Symbol" w:hAnsi="Symbol" w:eastAsia="Calibri" w:cs="Symbol"/>
                <w:color w:val="000000"/>
                <w:sz w:val="20"/>
                <w:szCs w:val="20"/>
                <w:vertAlign w:val="subscript"/>
                <w:lang w:eastAsia="zh-CN"/>
              </w:rPr>
              <w:t></w:t>
            </w:r>
            <w:r>
              <w:rPr>
                <w:rFonts w:hint="default" w:ascii="Times New Roman" w:hAnsi="Times New Roman" w:cs="Times New Roman"/>
                <w:color w:val="000000"/>
                <w:sz w:val="20"/>
                <w:szCs w:val="20"/>
                <w:vertAlign w:val="subscript"/>
                <w:lang w:eastAsia="zh-CN"/>
              </w:rPr>
              <w:t></w:t>
            </w:r>
          </w:p>
          <w:p w14:paraId="7FA970C8">
            <w:pPr>
              <w:numPr>
                <w:ilvl w:val="1"/>
                <w:numId w:val="8"/>
              </w:numPr>
              <w:snapToGrid w:val="0"/>
              <w:rPr>
                <w:rFonts w:hint="default" w:ascii="Times New Roman" w:hAnsi="Times New Roman" w:cs="Times New Roman"/>
                <w:sz w:val="20"/>
                <w:szCs w:val="20"/>
                <w:lang w:val="en-CA" w:eastAsia="zh-CN"/>
              </w:rPr>
            </w:pPr>
            <w:r>
              <w:rPr>
                <w:rFonts w:hint="default" w:ascii="Times New Roman" w:hAnsi="Times New Roman" w:eastAsia="Calibri" w:cs="Times New Roman"/>
                <w:sz w:val="20"/>
                <w:szCs w:val="20"/>
                <w:lang w:eastAsia="zh-CN"/>
              </w:rPr>
              <w:t>FFS: supported quantization alphabet(s) (including</w:t>
            </w:r>
            <w:r>
              <w:rPr>
                <w:rFonts w:hint="default" w:ascii="Symbol" w:hAnsi="Symbol" w:eastAsia="Calibri" w:cs="Symbol"/>
                <w:sz w:val="20"/>
                <w:szCs w:val="20"/>
                <w:lang w:eastAsia="zh-CN"/>
              </w:rPr>
              <w:t xml:space="preserve"> A</w:t>
            </w:r>
            <w:r>
              <w:rPr>
                <w:rFonts w:hint="default" w:ascii="Symbol" w:hAnsi="Symbol" w:eastAsia="Calibri" w:cs="Symbol"/>
                <w:sz w:val="20"/>
                <w:szCs w:val="20"/>
                <w:vertAlign w:val="subscript"/>
                <w:lang w:eastAsia="zh-CN"/>
              </w:rPr>
              <w:t></w:t>
            </w:r>
            <w:r>
              <w:rPr>
                <w:rFonts w:hint="default" w:ascii="Times New Roman" w:hAnsi="Times New Roman" w:eastAsia="Calibri" w:cs="Times New Roman"/>
                <w:sz w:val="20"/>
                <w:szCs w:val="20"/>
                <w:lang w:eastAsia="zh-CN"/>
              </w:rPr>
              <w:t xml:space="preserve"> and resolution) for</w:t>
            </w:r>
            <w:r>
              <w:rPr>
                <w:rFonts w:hint="default" w:ascii="Symbol" w:hAnsi="Symbol" w:eastAsia="Calibri" w:cs="Symbol"/>
                <w:sz w:val="20"/>
                <w:szCs w:val="20"/>
                <w:lang w:eastAsia="zh-CN"/>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lang w:eastAsia="zh-CN"/>
              </w:rPr>
              <w:t xml:space="preserve"> </w:t>
            </w:r>
          </w:p>
          <w:p w14:paraId="3783B2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8E0D824">
            <w:pPr>
              <w:snapToGrid w:val="0"/>
              <w:ind w:left="0" w:firstLine="0"/>
              <w:rPr>
                <w:rFonts w:hint="default" w:ascii="Times New Roman" w:hAnsi="Times New Roman" w:cs="Times New Roman"/>
                <w:bCs/>
                <w:sz w:val="20"/>
                <w:szCs w:val="20"/>
                <w:lang w:eastAsia="zh-CN"/>
              </w:rPr>
            </w:pPr>
            <w:r>
              <w:rPr>
                <w:rFonts w:hint="default" w:ascii="Times New Roman" w:hAnsi="Times New Roman" w:eastAsia="Calibri" w:cs="Times New Roman"/>
                <w:sz w:val="20"/>
                <w:szCs w:val="20"/>
              </w:rPr>
              <w:t>For the Rel-19 aperiodic standalone CJT calibration reporting, for a given CJT calibration report of one [or more] CJT calibration report type, the nref is selected by the UE and reported as a part of the CJT calibration report</w:t>
            </w:r>
          </w:p>
          <w:p w14:paraId="281D0A92">
            <w:pPr>
              <w:numPr>
                <w:ilvl w:val="0"/>
                <w:numId w:val="9"/>
              </w:numPr>
              <w:snapToGrid w:val="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Note: CJT calibration report type refers to the Doffset/d report, FO report, and, TDD PO report</w:t>
            </w:r>
          </w:p>
          <w:p w14:paraId="5FF670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4473EFDF">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 xml:space="preserve">For the Rel-19 aperiodic standalone CJT calibration reporting of </w:t>
            </w:r>
            <w:r>
              <w:rPr>
                <w:rFonts w:hint="default" w:ascii="Times New Roman" w:hAnsi="Times New Roman" w:cs="Times New Roman"/>
                <w:bCs/>
                <w:sz w:val="20"/>
                <w:szCs w:val="20"/>
                <w:lang w:eastAsia="zh-CN"/>
              </w:rPr>
              <w:t>{FO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bCs/>
                <w:sz w:val="20"/>
                <w:szCs w:val="20"/>
                <w:lang w:eastAsia="zh-CN"/>
              </w:rPr>
              <w:t xml:space="preserve"> – 1, n≠nref}, the value of 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w:t>
            </w:r>
            <w:r>
              <w:rPr>
                <w:rFonts w:hint="default" w:ascii="Times New Roman" w:hAnsi="Times New Roman" w:eastAsia="Calibri" w:cs="Times New Roman"/>
                <w:sz w:val="20"/>
                <w:szCs w:val="20"/>
                <w:lang w:eastAsia="zh-CN"/>
              </w:rPr>
              <w:t xml:space="preserve">indicates a uniformly quantized frequency offset between </w:t>
            </w:r>
            <w:r>
              <w:rPr>
                <w:rFonts w:hint="default" w:ascii="Times New Roman" w:hAnsi="Times New Roman" w:cs="Times New Roman"/>
                <w:sz w:val="20"/>
                <w:szCs w:val="20"/>
                <w:lang w:eastAsia="zh-CN"/>
              </w:rPr>
              <w:t xml:space="preserve">0 and </w:t>
            </w:r>
            <w:r>
              <w:rPr>
                <w:rFonts w:hint="default" w:ascii="Times New Roman" w:hAnsi="Times New Roman" w:eastAsia="Calibri" w:cs="Times New Roman"/>
                <w:sz w:val="20"/>
                <w:szCs w:val="20"/>
                <w:lang w:eastAsia="zh-CN"/>
              </w:rPr>
              <w:t>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xml:space="preserve"> </w:t>
            </w:r>
          </w:p>
          <w:p w14:paraId="0817F5CD">
            <w:pPr>
              <w:snapToGrid w:val="0"/>
              <w:ind w:left="0" w:firstLine="0"/>
              <w:rPr>
                <w:rFonts w:hint="default" w:ascii="Times New Roman" w:hAnsi="Times New Roman" w:eastAsia="Calibri" w:cs="Times New Roman"/>
                <w:sz w:val="20"/>
                <w:szCs w:val="20"/>
                <w:lang w:val="en-US" w:eastAsia="zh-CN"/>
              </w:rPr>
            </w:pPr>
          </w:p>
          <w:p w14:paraId="07085C3F">
            <w:pPr>
              <w:widowControl w:val="0"/>
              <w:snapToGrid w:val="0"/>
              <w:ind w:left="0" w:firstLine="0"/>
              <w:rPr>
                <w:rFonts w:hint="default" w:ascii="Times New Roman" w:hAnsi="Times New Roman" w:cs="Times New Roman"/>
                <w:sz w:val="20"/>
                <w:szCs w:val="20"/>
                <w:vertAlign w:val="subscript"/>
                <w:lang w:eastAsia="zh-CN"/>
              </w:rPr>
            </w:pPr>
            <w:r>
              <w:rPr>
                <w:rFonts w:hint="default" w:ascii="Times New Roman" w:hAnsi="Times New Roman" w:eastAsia="Calibri" w:cs="Times New Roman"/>
                <w:sz w:val="20"/>
                <w:szCs w:val="20"/>
              </w:rPr>
              <w:t xml:space="preserve">For the Rel-19 aperiodic standalone CJT calibration reporting, regarding phase offset reporting, </w:t>
            </w:r>
            <w:r>
              <w:rPr>
                <w:rFonts w:hint="default" w:ascii="Times New Roman" w:hAnsi="Times New Roman" w:eastAsia="Calibri" w:cs="Times New Roman"/>
                <w:sz w:val="20"/>
                <w:szCs w:val="20"/>
                <w:lang w:eastAsia="zh-CN"/>
              </w:rPr>
              <w:t xml:space="preserve">the value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vertAlign w:val="subscript"/>
                <w:lang w:eastAsia="zh-CN"/>
              </w:rPr>
              <w:t>,</w:t>
            </w:r>
            <w:r>
              <w:rPr>
                <w:rFonts w:hint="default" w:ascii="Times New Roman" w:hAnsi="Times New Roman" w:eastAsia="Calibri" w:cs="Times New Roman"/>
                <w:sz w:val="20"/>
                <w:szCs w:val="20"/>
                <w:vertAlign w:val="subscript"/>
              </w:rPr>
              <w:t></w:t>
            </w:r>
            <w:r>
              <w:rPr>
                <w:rFonts w:hint="default" w:ascii="Times New Roman" w:hAnsi="Times New Roman" w:eastAsia="Calibri" w:cs="Times New Roman"/>
                <w:sz w:val="20"/>
                <w:szCs w:val="20"/>
                <w:lang w:eastAsia="zh-CN"/>
              </w:rPr>
              <w:t xml:space="preserve"> indicates a uniformly quantized phase between 0 and</w:t>
            </w:r>
            <w:r>
              <w:rPr>
                <w:rFonts w:hint="default" w:ascii="Symbol" w:hAnsi="Symbol" w:eastAsia="Calibri" w:cs="Symbol"/>
                <w:sz w:val="20"/>
                <w:szCs w:val="20"/>
                <w:lang w:eastAsia="zh-CN"/>
              </w:rPr>
              <w:t xml:space="preserve"> </w:t>
            </w:r>
            <w:r>
              <w:rPr>
                <w:rFonts w:hint="default" w:ascii="Symbol" w:hAnsi="Symbol" w:cs="Symbol"/>
                <w:sz w:val="20"/>
                <w:szCs w:val="20"/>
                <w:lang w:eastAsia="zh-CN"/>
              </w:rPr>
              <w:t>2</w:t>
            </w:r>
          </w:p>
          <w:p w14:paraId="60E01A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2D32125E">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dynamic range and resolution parameters for delay offset reporting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n,offset</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M</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are NW-configured via higher-layer (RRC) signalling from the following candidate values:</w:t>
            </w:r>
          </w:p>
          <w:p w14:paraId="66A1EF04">
            <w:pPr>
              <w:widowControl w:val="0"/>
              <w:numPr>
                <w:ilvl w:val="0"/>
                <w:numId w:val="10"/>
              </w:numPr>
              <w:snapToGrid w:val="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w:t>
            </w:r>
            <w:r>
              <w:rPr>
                <w:rFonts w:hint="default" w:ascii="Times New Roman" w:hAnsi="Times New Roman" w:cs="Times New Roman"/>
                <w:sz w:val="20"/>
                <w:szCs w:val="20"/>
                <w:highlight w:val="none"/>
                <w:vertAlign w:val="subscript"/>
                <w:lang w:eastAsia="zh-CN"/>
              </w:rPr>
              <w:t>D</w:t>
            </w:r>
            <w:r>
              <w:rPr>
                <w:rFonts w:hint="default" w:ascii="Times New Roman" w:hAnsi="Times New Roman" w:cs="Times New Roman"/>
                <w:sz w:val="20"/>
                <w:szCs w:val="20"/>
                <w:highlight w:val="none"/>
                <w:lang w:eastAsia="zh-CN"/>
              </w:rPr>
              <w:t xml:space="preserve"> ={0.5CP, 0.75CP, CP, 1.5CP, 2CP,</w:t>
            </w:r>
            <w:r>
              <w:rPr>
                <w:rFonts w:hint="eastAsia" w:ascii="Times New Roman" w:hAnsi="Times New Roman" w:cs="Times New Roman"/>
                <w:sz w:val="20"/>
                <w:szCs w:val="20"/>
                <w:highlight w:val="none"/>
                <w:lang w:val="en-US" w:eastAsia="zh-CN"/>
              </w:rPr>
              <w:t>1/4</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 1/12</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 1/24</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cs="Times New Roman"/>
                <w:sz w:val="20"/>
                <w:szCs w:val="20"/>
                <w:highlight w:val="none"/>
                <w:lang w:eastAsia="zh-CN"/>
              </w:rPr>
              <w:t xml:space="preserve"> } where CP and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cs="Times New Roman"/>
                <w:sz w:val="20"/>
                <w:szCs w:val="20"/>
                <w:highlight w:val="none"/>
                <w:lang w:eastAsia="zh-CN"/>
              </w:rPr>
              <w:t xml:space="preserve">  denote the length of the cyclic prefix according to the current specifications (for normal CP) within a slot and the SCS, respectively</w:t>
            </w:r>
          </w:p>
          <w:p w14:paraId="78B4CFEE">
            <w:pPr>
              <w:widowControl w:val="0"/>
              <w:numPr>
                <w:ilvl w:val="1"/>
                <w:numId w:val="10"/>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Further down-selection of the above candidate values for AD, including the use of a same unit for all supported values</w:t>
            </w:r>
          </w:p>
          <w:p w14:paraId="691DCAAB">
            <w:pPr>
              <w:widowControl w:val="0"/>
              <w:numPr>
                <w:ilvl w:val="0"/>
                <w:numId w:val="10"/>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w:t>
            </w:r>
            <w:r>
              <w:rPr>
                <w:rFonts w:hint="default" w:ascii="Times New Roman" w:hAnsi="Times New Roman" w:cs="Times New Roman"/>
                <w:sz w:val="20"/>
                <w:szCs w:val="20"/>
                <w:vertAlign w:val="subscript"/>
                <w:lang w:eastAsia="zh-CN"/>
              </w:rPr>
              <w:t>D</w:t>
            </w:r>
            <w:r>
              <w:rPr>
                <w:rFonts w:hint="default" w:ascii="Times New Roman" w:hAnsi="Times New Roman" w:cs="Times New Roman"/>
                <w:sz w:val="20"/>
                <w:szCs w:val="20"/>
                <w:lang w:eastAsia="zh-CN"/>
              </w:rPr>
              <w:t xml:space="preserve"> ={32, 64}</w:t>
            </w:r>
          </w:p>
          <w:p w14:paraId="263D2B04">
            <w:pPr>
              <w:widowControl w:val="0"/>
              <w:numPr>
                <w:ilvl w:val="1"/>
                <w:numId w:val="10"/>
              </w:numPr>
              <w:snapToGrid w:val="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If TDD TX/RX timing misalignment report is supported, whether different set of candidate M</w:t>
            </w:r>
            <w:r>
              <w:rPr>
                <w:rFonts w:hint="default" w:ascii="Times New Roman" w:hAnsi="Times New Roman" w:cs="Times New Roman"/>
                <w:sz w:val="20"/>
                <w:szCs w:val="20"/>
                <w:vertAlign w:val="subscript"/>
                <w:lang w:eastAsia="zh-CN"/>
              </w:rPr>
              <w:t>D</w:t>
            </w:r>
            <w:r>
              <w:rPr>
                <w:rFonts w:hint="default" w:ascii="Times New Roman" w:hAnsi="Times New Roman" w:cs="Times New Roman"/>
                <w:sz w:val="20"/>
                <w:szCs w:val="20"/>
                <w:lang w:eastAsia="zh-CN"/>
              </w:rPr>
              <w:t xml:space="preserve"> values is needed</w:t>
            </w:r>
          </w:p>
          <w:p w14:paraId="5E425D47">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In addition, the inside/outside range for the 1-bit indicator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rPr>
              <w:t xml:space="preserve"> </w:t>
            </w:r>
            <w:r>
              <w:rPr>
                <w:rFonts w:hint="default" w:ascii="Times New Roman" w:hAnsi="Times New Roman" w:eastAsia="Calibri" w:cs="Times New Roman"/>
                <w:sz w:val="20"/>
                <w:szCs w:val="20"/>
                <w:lang w:eastAsia="zh-CN"/>
              </w:rPr>
              <w:t>is equal to [0, CP].</w:t>
            </w:r>
          </w:p>
          <w:p w14:paraId="3A6D0D76">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FFS: Further implicit/explicit restriction(s) on candidate value(s) depending on the CSI-RS configuration</w:t>
            </w:r>
          </w:p>
          <w:p w14:paraId="453977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A1E66E6">
            <w:pPr>
              <w:widowControl w:val="0"/>
              <w:snapToGrid w:val="0"/>
              <w:ind w:left="0" w:firstLine="0"/>
              <w:rPr>
                <w:rFonts w:hint="default" w:ascii="Times New Roman" w:hAnsi="Times New Roman" w:eastAsia="Calibri" w:cs="Times New Roman"/>
                <w:iCs/>
                <w:sz w:val="20"/>
                <w:szCs w:val="20"/>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iCs/>
                <w:sz w:val="20"/>
                <w:szCs w:val="20"/>
              </w:rPr>
              <w:t xml:space="preserve"> an ‘invalid’ quantization state/hypothesis is supported for frequency offset and phase offset CJT calibration reporting</w:t>
            </w:r>
          </w:p>
          <w:p w14:paraId="01E8EF05">
            <w:pPr>
              <w:widowControl w:val="0"/>
              <w:numPr>
                <w:ilvl w:val="0"/>
                <w:numId w:val="11"/>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 xml:space="preserve">Note: </w:t>
            </w:r>
            <w:r>
              <w:rPr>
                <w:rFonts w:hint="default" w:ascii="Times New Roman" w:hAnsi="Times New Roman" w:eastAsia="Calibri" w:cs="Times New Roman"/>
                <w:iCs/>
                <w:sz w:val="20"/>
                <w:szCs w:val="20"/>
                <w:lang w:eastAsia="zh-CN"/>
              </w:rPr>
              <w:t>already supported as ‘out-of-range’ for the (D</w:t>
            </w:r>
            <w:r>
              <w:rPr>
                <w:rFonts w:hint="default" w:ascii="Times New Roman" w:hAnsi="Times New Roman" w:eastAsia="Calibri" w:cs="Times New Roman"/>
                <w:iCs/>
                <w:sz w:val="20"/>
                <w:szCs w:val="20"/>
                <w:vertAlign w:val="subscript"/>
                <w:lang w:eastAsia="zh-CN"/>
              </w:rPr>
              <w:t>n,offset</w:t>
            </w:r>
            <w:r>
              <w:rPr>
                <w:rFonts w:hint="default" w:ascii="Times New Roman" w:hAnsi="Times New Roman" w:eastAsia="Calibri" w:cs="Times New Roman"/>
                <w:iCs/>
                <w:sz w:val="20"/>
                <w:szCs w:val="20"/>
                <w:lang w:eastAsia="zh-CN"/>
              </w:rPr>
              <w:t>, d</w:t>
            </w:r>
            <w:r>
              <w:rPr>
                <w:rFonts w:hint="default" w:ascii="Times New Roman" w:hAnsi="Times New Roman" w:eastAsia="Calibri" w:cs="Times New Roman"/>
                <w:iCs/>
                <w:sz w:val="20"/>
                <w:szCs w:val="20"/>
                <w:vertAlign w:val="subscript"/>
                <w:lang w:eastAsia="zh-CN"/>
              </w:rPr>
              <w:t>n</w:t>
            </w:r>
            <w:r>
              <w:rPr>
                <w:rFonts w:hint="default" w:ascii="Times New Roman" w:hAnsi="Times New Roman" w:eastAsia="Calibri" w:cs="Times New Roman"/>
                <w:iCs/>
                <w:sz w:val="20"/>
                <w:szCs w:val="20"/>
                <w:lang w:eastAsia="zh-CN"/>
              </w:rPr>
              <w:t>) reporting</w:t>
            </w:r>
          </w:p>
          <w:p w14:paraId="49837074">
            <w:pPr>
              <w:widowControl w:val="0"/>
              <w:numPr>
                <w:ilvl w:val="0"/>
                <w:numId w:val="11"/>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FFS (RAN1#117): The need for a condition/event for ‘invalid’ to be specified as a UE procedure e.g. RSRP-based</w:t>
            </w:r>
          </w:p>
          <w:p w14:paraId="034E53A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6F12EE8B">
            <w:pPr>
              <w:widowControl w:val="0"/>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dynamic range and resolution parameters for frequency offset reporting </w:t>
            </w:r>
            <w:r>
              <w:rPr>
                <w:rFonts w:hint="default" w:ascii="Times New Roman" w:hAnsi="Times New Roman" w:eastAsia="Calibri" w:cs="Times New Roman"/>
                <w:sz w:val="20"/>
                <w:szCs w:val="20"/>
              </w:rPr>
              <w:t>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M</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are NW-configured via higher-layer (RRC) signalling from the following candidate values:</w:t>
            </w:r>
          </w:p>
          <w:p w14:paraId="00D0FD81">
            <w:pPr>
              <w:widowControl w:val="0"/>
              <w:numPr>
                <w:ilvl w:val="0"/>
                <w:numId w:val="12"/>
              </w:numPr>
              <w:snapToGrid w:val="0"/>
              <w:contextualSpacing/>
              <w:rPr>
                <w:rFonts w:hint="default" w:ascii="Times New Roman" w:hAnsi="Times New Roman" w:eastAsia="Calibri" w:cs="Times New Roman"/>
                <w:sz w:val="20"/>
                <w:szCs w:val="20"/>
                <w:highlight w:val="none"/>
                <w:lang w:eastAsia="zh-CN"/>
              </w:rPr>
            </w:pPr>
            <w:r>
              <w:rPr>
                <w:rFonts w:hint="default" w:ascii="Times New Roman" w:hAnsi="Times New Roman" w:eastAsia="Calibri" w:cs="Times New Roman"/>
                <w:sz w:val="20"/>
                <w:szCs w:val="20"/>
                <w:highlight w:val="none"/>
                <w:lang w:eastAsia="zh-CN"/>
              </w:rPr>
              <w:t>A</w:t>
            </w:r>
            <w:r>
              <w:rPr>
                <w:rFonts w:hint="default" w:ascii="Times New Roman" w:hAnsi="Times New Roman" w:eastAsia="Calibri" w:cs="Times New Roman"/>
                <w:sz w:val="20"/>
                <w:szCs w:val="20"/>
                <w:highlight w:val="none"/>
                <w:vertAlign w:val="subscript"/>
                <w:lang w:eastAsia="zh-CN"/>
              </w:rPr>
              <w:t>FO</w:t>
            </w:r>
            <w:r>
              <w:rPr>
                <w:rFonts w:hint="default" w:ascii="Times New Roman" w:hAnsi="Times New Roman" w:eastAsia="Calibri" w:cs="Times New Roman"/>
                <w:sz w:val="20"/>
                <w:szCs w:val="20"/>
                <w:highlight w:val="none"/>
                <w:lang w:eastAsia="zh-CN"/>
              </w:rPr>
              <w:t xml:space="preserve"> = {0.01ppm, 0.1ppm, 0.2ppm,</w:t>
            </w:r>
            <w:r>
              <w:rPr>
                <w:rFonts w:hint="default" w:ascii="Symbol" w:hAnsi="Symbol" w:eastAsia="Calibri" w:cs="Symbol"/>
                <w:sz w:val="20"/>
                <w:szCs w:val="20"/>
                <w:highlight w:val="none"/>
                <w:lang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 xml:space="preserve">/2,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/4,</w:t>
            </w:r>
            <w:r>
              <w:rPr>
                <w:rFonts w:hint="eastAsia" w:ascii="Times New Roman" w:hAnsi="Times New Roman" w:eastAsia="Calibri" w:cs="Times New Roman"/>
                <w:sz w:val="20"/>
                <w:szCs w:val="20"/>
                <w:highlight w:val="none"/>
                <w:lang w:val="en-US" w:eastAsia="zh-CN"/>
              </w:rPr>
              <w:t xml:space="preserve"> </w:t>
            </w:r>
            <w:r>
              <w:rPr>
                <w:rFonts w:hint="default" w:ascii="Arial" w:hAnsi="Arial" w:cs="Arial"/>
                <w:sz w:val="20"/>
                <w:szCs w:val="20"/>
                <w:highlight w:val="none"/>
                <w:lang w:val="en-US" w:eastAsia="zh-CN"/>
              </w:rPr>
              <w:t>∆</w:t>
            </w:r>
            <w:r>
              <w:rPr>
                <w:rFonts w:hint="eastAsia" w:ascii="Times New Roman" w:hAnsi="Times New Roman" w:cs="Times New Roman"/>
                <w:sz w:val="20"/>
                <w:szCs w:val="20"/>
                <w:highlight w:val="none"/>
                <w:lang w:val="en-US" w:eastAsia="zh-CN"/>
              </w:rPr>
              <w:t>f</w:t>
            </w:r>
            <w:r>
              <w:rPr>
                <w:rFonts w:hint="default" w:ascii="Times New Roman" w:hAnsi="Times New Roman" w:eastAsia="Calibri" w:cs="Times New Roman"/>
                <w:sz w:val="20"/>
                <w:szCs w:val="20"/>
                <w:highlight w:val="none"/>
                <w:lang w:eastAsia="zh-CN"/>
              </w:rPr>
              <w:t>/8, 1/(4</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1/(8</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1/(16</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1/(32</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1/(512</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where</w:t>
            </w:r>
            <w:r>
              <w:rPr>
                <w:rFonts w:hint="eastAsia" w:ascii="Times New Roman" w:hAnsi="Times New Roman" w:eastAsia="Calibri" w:cs="Times New Roman"/>
                <w:sz w:val="20"/>
                <w:szCs w:val="20"/>
                <w:highlight w:val="none"/>
                <w:lang w:val="en-US" w:eastAsia="zh-CN"/>
              </w:rPr>
              <w:t xml:space="preserve"> </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 xml:space="preserve">f and </w:t>
            </w:r>
            <w:r>
              <w:rPr>
                <w:rFonts w:hint="default" w:ascii="Arial" w:hAnsi="Arial" w:cs="Arial"/>
                <w:sz w:val="20"/>
                <w:szCs w:val="20"/>
                <w:highlight w:val="none"/>
                <w:lang w:val="en-US" w:eastAsia="zh-CN"/>
              </w:rPr>
              <w:t>∆</w:t>
            </w:r>
            <w:r>
              <w:rPr>
                <w:rFonts w:hint="default" w:ascii="Times New Roman" w:hAnsi="Times New Roman" w:eastAsia="Calibri" w:cs="Times New Roman"/>
                <w:sz w:val="20"/>
                <w:szCs w:val="20"/>
                <w:highlight w:val="none"/>
                <w:lang w:eastAsia="zh-CN"/>
              </w:rPr>
              <w:t>t denote the SCS and duration of one OFDM symbol, respectively</w:t>
            </w:r>
          </w:p>
          <w:p w14:paraId="13A58FCD">
            <w:pPr>
              <w:widowControl w:val="0"/>
              <w:numPr>
                <w:ilvl w:val="1"/>
                <w:numId w:val="12"/>
              </w:numPr>
              <w:snapToGrid w:val="0"/>
              <w:contextualSpacing/>
              <w:rPr>
                <w:rFonts w:hint="default" w:ascii="Times New Roman" w:hAnsi="Times New Roman" w:eastAsia="Calibri" w:cs="Times New Roman"/>
                <w:sz w:val="20"/>
                <w:szCs w:val="20"/>
                <w:lang w:eastAsia="zh-CN"/>
              </w:rPr>
            </w:pPr>
            <w:r>
              <w:rPr>
                <w:rFonts w:hint="default" w:ascii="Times New Roman" w:hAnsi="Times New Roman" w:cs="Times New Roman"/>
                <w:sz w:val="20"/>
                <w:szCs w:val="20"/>
                <w:highlight w:val="none"/>
                <w:lang w:eastAsia="zh-CN"/>
              </w:rPr>
              <w:t>FFS: Further down-sel</w:t>
            </w:r>
            <w:r>
              <w:rPr>
                <w:rFonts w:hint="default" w:ascii="Times New Roman" w:hAnsi="Times New Roman" w:cs="Times New Roman"/>
                <w:sz w:val="20"/>
                <w:szCs w:val="20"/>
                <w:lang w:eastAsia="zh-CN"/>
              </w:rPr>
              <w:t>ection of the above candidate values for A</w:t>
            </w:r>
            <w:r>
              <w:rPr>
                <w:rFonts w:hint="default" w:ascii="Times New Roman" w:hAnsi="Times New Roman" w:cs="Times New Roman"/>
                <w:sz w:val="20"/>
                <w:szCs w:val="20"/>
                <w:vertAlign w:val="subscript"/>
                <w:lang w:eastAsia="zh-CN"/>
              </w:rPr>
              <w:t>FO</w:t>
            </w:r>
            <w:r>
              <w:rPr>
                <w:rFonts w:hint="default" w:ascii="Times New Roman" w:hAnsi="Times New Roman" w:cs="Times New Roman"/>
                <w:sz w:val="20"/>
                <w:szCs w:val="20"/>
                <w:lang w:eastAsia="zh-CN"/>
              </w:rPr>
              <w:t>, including the use of a same unit for all supported values</w:t>
            </w:r>
          </w:p>
          <w:p w14:paraId="06598356">
            <w:pPr>
              <w:widowControl w:val="0"/>
              <w:numPr>
                <w:ilvl w:val="0"/>
                <w:numId w:val="12"/>
              </w:numPr>
              <w:snapToGrid w:val="0"/>
              <w:contextualSpacing/>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lang w:eastAsia="zh-CN"/>
              </w:rPr>
              <w:t>M</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xml:space="preserve"> = {16,32}</w:t>
            </w:r>
          </w:p>
          <w:p w14:paraId="2FB569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5380760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Calibri" w:cs="Times New Roman"/>
                <w:sz w:val="20"/>
                <w:szCs w:val="20"/>
                <w:lang w:val="en-US"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the resolution parameters for</w:t>
            </w:r>
            <w:r>
              <w:rPr>
                <w:rFonts w:hint="default" w:ascii="Symbol" w:hAnsi="Symbol" w:eastAsia="Calibri" w:cs="Symbol"/>
                <w:sz w:val="20"/>
                <w:szCs w:val="20"/>
                <w:lang w:eastAsia="zh-CN"/>
              </w:rPr>
              <w:t xml:space="preserve"> </w:t>
            </w:r>
            <w:r>
              <w:rPr>
                <w:rFonts w:ascii="Symbol" w:hAnsi="Symbol" w:eastAsia="Calibri"/>
                <w:sz w:val="20"/>
                <w:szCs w:val="20"/>
              </w:rPr>
              <w:t></w:t>
            </w:r>
            <w:r>
              <w:rPr>
                <w:rFonts w:eastAsia="Calibri"/>
                <w:sz w:val="20"/>
                <w:szCs w:val="20"/>
                <w:vertAlign w:val="subscript"/>
              </w:rPr>
              <w:t>n,</w:t>
            </w:r>
            <w:r>
              <w:rPr>
                <w:rFonts w:ascii="Symbol" w:hAnsi="Symbol" w:eastAsia="Calibri"/>
                <w:sz w:val="20"/>
                <w:szCs w:val="20"/>
                <w:vertAlign w:val="subscript"/>
              </w:rPr>
              <w:t></w:t>
            </w:r>
            <w:r>
              <w:rPr>
                <w:rFonts w:hint="default" w:ascii="Times New Roman" w:hAnsi="Times New Roman" w:eastAsia="Calibri" w:cs="Times New Roman"/>
                <w:sz w:val="20"/>
                <w:szCs w:val="20"/>
                <w:vertAlign w:val="subscript"/>
              </w:rPr>
              <w:t></w:t>
            </w:r>
            <w:r>
              <w:rPr>
                <w:rFonts w:hint="default" w:ascii="Times New Roman" w:hAnsi="Times New Roman" w:eastAsia="Calibri" w:cs="Times New Roman"/>
                <w:sz w:val="20"/>
                <w:szCs w:val="20"/>
                <w:lang w:eastAsia="zh-CN"/>
              </w:rPr>
              <w:t xml:space="preserve">, i.e. </w:t>
            </w:r>
            <w:r>
              <w:rPr>
                <w:rFonts w:hint="default" w:ascii="Symbol" w:hAnsi="Symbol" w:eastAsia="Calibri" w:cs="Symbol"/>
                <w:sz w:val="20"/>
                <w:szCs w:val="20"/>
                <w:lang w:eastAsia="zh-CN"/>
              </w:rPr>
              <w:t>M</w:t>
            </w:r>
            <w:r>
              <w:rPr>
                <w:rFonts w:hint="default" w:ascii="Symbol" w:hAnsi="Symbol" w:eastAsia="Calibri" w:cs="Symbol"/>
                <w:sz w:val="20"/>
                <w:szCs w:val="20"/>
                <w:vertAlign w:val="subscript"/>
                <w:lang w:eastAsia="zh-CN"/>
              </w:rPr>
              <w:t></w:t>
            </w:r>
            <w:r>
              <w:rPr>
                <w:rFonts w:hint="default" w:ascii="Times New Roman" w:hAnsi="Times New Roman" w:eastAsia="Calibri" w:cs="Times New Roman"/>
                <w:sz w:val="20"/>
                <w:szCs w:val="20"/>
                <w:lang w:eastAsia="zh-CN"/>
              </w:rPr>
              <w:t>, are NW-configured via higher-layer (RRC) signalling from the candidate values {16, 32}</w:t>
            </w:r>
            <w:r>
              <w:rPr>
                <w:rFonts w:hint="eastAsia" w:ascii="Times New Roman" w:hAnsi="Times New Roman" w:eastAsia="Calibri" w:cs="Times New Roman"/>
                <w:sz w:val="20"/>
                <w:szCs w:val="20"/>
                <w:lang w:val="en-US" w:eastAsia="zh-CN"/>
              </w:rPr>
              <w:t xml:space="preserve"> </w:t>
            </w:r>
          </w:p>
          <w:p w14:paraId="69570F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Calibri" w:cs="Times New Roman"/>
                <w:sz w:val="20"/>
                <w:szCs w:val="20"/>
                <w:lang w:eastAsia="zh-CN"/>
              </w:rPr>
            </w:pPr>
          </w:p>
          <w:p w14:paraId="46C31A29">
            <w:pPr>
              <w:snapToGrid w:val="0"/>
              <w:ind w:left="0" w:firstLine="0"/>
              <w:rPr>
                <w:rFonts w:hint="default" w:ascii="Times New Roman" w:hAnsi="Times New Roman" w:cs="Times New Roman"/>
                <w:bCs/>
                <w:sz w:val="20"/>
                <w:szCs w:val="20"/>
                <w:lang w:val="en-CA" w:eastAsia="zh-CN"/>
              </w:rPr>
            </w:pPr>
            <w:r>
              <w:rPr>
                <w:rFonts w:hint="default" w:ascii="Times New Roman" w:hAnsi="Times New Roman" w:eastAsia="Calibri" w:cs="Times New Roman"/>
                <w:sz w:val="20"/>
                <w:szCs w:val="20"/>
              </w:rPr>
              <w:t xml:space="preserve">For the Rel-19 aperiodic standalone CJT calibration reporting, in addition to reporting one type of CJT calibration report in one report, at least support reporting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n,offset</w:t>
            </w:r>
            <w:r>
              <w:rPr>
                <w:rFonts w:hint="default" w:ascii="Times New Roman" w:hAnsi="Times New Roman" w:cs="Times New Roman"/>
                <w:sz w:val="20"/>
                <w:szCs w:val="20"/>
              </w:rPr>
              <w:t>, d</w:t>
            </w:r>
            <w:r>
              <w:rPr>
                <w:rFonts w:hint="default" w:ascii="Times New Roman" w:hAnsi="Times New Roman" w:cs="Times New Roman"/>
                <w:sz w:val="20"/>
                <w:szCs w:val="20"/>
                <w:vertAlign w:val="subscript"/>
              </w:rPr>
              <w:t>n</w:t>
            </w:r>
            <w:r>
              <w:rPr>
                <w:rFonts w:hint="default" w:ascii="Times New Roman" w:hAnsi="Times New Roman" w:cs="Times New Roman"/>
                <w:sz w:val="20"/>
                <w:szCs w:val="20"/>
              </w:rPr>
              <w:t>),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sz w:val="20"/>
                <w:szCs w:val="20"/>
              </w:rPr>
              <w:t xml:space="preserve"> – 1</w:t>
            </w:r>
            <w:r>
              <w:rPr>
                <w:rFonts w:hint="default" w:ascii="Times New Roman" w:hAnsi="Times New Roman" w:eastAsia="Calibri" w:cs="Times New Roman"/>
                <w:sz w:val="20"/>
                <w:szCs w:val="20"/>
              </w:rPr>
              <w:t xml:space="preserve">, </w:t>
            </w:r>
            <w:r>
              <w:rPr>
                <w:rFonts w:hint="default" w:ascii="Times New Roman" w:hAnsi="Times New Roman" w:cs="Times New Roman"/>
                <w:bCs/>
                <w:sz w:val="20"/>
                <w:szCs w:val="20"/>
                <w:lang w:eastAsia="zh-CN"/>
              </w:rPr>
              <w:t>n≠nref1</w:t>
            </w:r>
            <w:r>
              <w:rPr>
                <w:rFonts w:hint="default" w:ascii="Times New Roman" w:hAnsi="Times New Roman" w:cs="Times New Roman"/>
                <w:sz w:val="20"/>
                <w:szCs w:val="20"/>
              </w:rPr>
              <w:t>}</w:t>
            </w:r>
            <w:r>
              <w:rPr>
                <w:rFonts w:hint="default" w:ascii="Times New Roman" w:hAnsi="Times New Roman" w:cs="Times New Roman"/>
                <w:bCs/>
                <w:sz w:val="20"/>
                <w:szCs w:val="20"/>
                <w:lang w:val="en-CA" w:eastAsia="zh-CN"/>
              </w:rPr>
              <w:t xml:space="preserve"> and </w:t>
            </w:r>
            <w:r>
              <w:rPr>
                <w:rFonts w:hint="default" w:ascii="Times New Roman" w:hAnsi="Times New Roman" w:cs="Times New Roman"/>
                <w:bCs/>
                <w:sz w:val="20"/>
                <w:szCs w:val="20"/>
                <w:lang w:eastAsia="zh-CN"/>
              </w:rPr>
              <w:t>{FO</w:t>
            </w:r>
            <w:r>
              <w:rPr>
                <w:rFonts w:hint="default" w:ascii="Times New Roman" w:hAnsi="Times New Roman" w:cs="Times New Roman"/>
                <w:bCs/>
                <w:sz w:val="20"/>
                <w:szCs w:val="20"/>
                <w:vertAlign w:val="subscript"/>
                <w:lang w:eastAsia="zh-CN"/>
              </w:rPr>
              <w:t>n</w:t>
            </w:r>
            <w:r>
              <w:rPr>
                <w:rFonts w:hint="default" w:ascii="Times New Roman" w:hAnsi="Times New Roman" w:cs="Times New Roman"/>
                <w:bCs/>
                <w:sz w:val="20"/>
                <w:szCs w:val="20"/>
                <w:lang w:eastAsia="zh-CN"/>
              </w:rPr>
              <w:t xml:space="preserve"> , n=0, 1, …, N</w:t>
            </w:r>
            <w:r>
              <w:rPr>
                <w:rFonts w:hint="default" w:ascii="Times New Roman" w:hAnsi="Times New Roman" w:cs="Times New Roman"/>
                <w:bCs/>
                <w:sz w:val="20"/>
                <w:szCs w:val="20"/>
                <w:vertAlign w:val="subscript"/>
                <w:lang w:eastAsia="zh-CN"/>
              </w:rPr>
              <w:t>TRP</w:t>
            </w:r>
            <w:r>
              <w:rPr>
                <w:rFonts w:hint="default" w:ascii="Times New Roman" w:hAnsi="Times New Roman" w:cs="Times New Roman"/>
                <w:bCs/>
                <w:sz w:val="20"/>
                <w:szCs w:val="20"/>
                <w:lang w:eastAsia="zh-CN"/>
              </w:rPr>
              <w:t xml:space="preserve"> – 1, n≠nref2} </w:t>
            </w:r>
            <w:r>
              <w:rPr>
                <w:rFonts w:hint="default" w:ascii="Times New Roman" w:hAnsi="Times New Roman" w:cs="Times New Roman"/>
                <w:bCs/>
                <w:sz w:val="20"/>
                <w:szCs w:val="20"/>
                <w:lang w:val="en-CA" w:eastAsia="zh-CN"/>
              </w:rPr>
              <w:t>in one report</w:t>
            </w:r>
          </w:p>
          <w:p w14:paraId="45C51ACC">
            <w:pPr>
              <w:numPr>
                <w:ilvl w:val="0"/>
                <w:numId w:val="13"/>
              </w:numPr>
              <w:snapToGrid w:val="0"/>
              <w:rPr>
                <w:rFonts w:hint="default" w:ascii="Times New Roman" w:hAnsi="Times New Roman" w:cs="Times New Roman"/>
                <w:sz w:val="20"/>
                <w:szCs w:val="20"/>
                <w:lang w:eastAsia="zh-CN"/>
              </w:rPr>
            </w:pPr>
            <w:r>
              <w:rPr>
                <w:rFonts w:hint="default" w:ascii="Times New Roman" w:hAnsi="Times New Roman" w:cs="Times New Roman"/>
                <w:bCs/>
                <w:sz w:val="20"/>
                <w:szCs w:val="20"/>
                <w:lang w:eastAsia="zh-CN"/>
              </w:rPr>
              <w:t>nref1 and nref2 are independently selected and indicated by the UE,</w:t>
            </w:r>
          </w:p>
          <w:p w14:paraId="326F021B">
            <w:pPr>
              <w:numPr>
                <w:ilvl w:val="0"/>
                <w:numId w:val="13"/>
              </w:numPr>
              <w:snapToGrid w:val="0"/>
              <w:rPr>
                <w:rFonts w:hint="default" w:ascii="Times New Roman" w:hAnsi="Times New Roman" w:cs="Times New Roman"/>
                <w:bCs/>
                <w:sz w:val="20"/>
                <w:szCs w:val="20"/>
                <w:lang w:eastAsia="zh-CN"/>
              </w:rPr>
            </w:pPr>
            <w:r>
              <w:rPr>
                <w:rFonts w:hint="default" w:ascii="Times New Roman" w:hAnsi="Times New Roman" w:cs="Times New Roman"/>
                <w:sz w:val="20"/>
                <w:szCs w:val="20"/>
                <w:lang w:eastAsia="zh-CN"/>
              </w:rPr>
              <w:t>O</w:t>
            </w:r>
            <w:r>
              <w:rPr>
                <w:rFonts w:hint="default" w:ascii="Times New Roman" w:hAnsi="Times New Roman" w:cs="Times New Roman"/>
                <w:bCs/>
                <w:sz w:val="20"/>
                <w:szCs w:val="20"/>
                <w:lang w:eastAsia="zh-CN"/>
              </w:rPr>
              <w:t>ne-part UCI</w:t>
            </w:r>
            <w:r>
              <w:rPr>
                <w:rFonts w:hint="default" w:ascii="Times New Roman" w:hAnsi="Times New Roman" w:cs="Times New Roman"/>
                <w:sz w:val="20"/>
                <w:szCs w:val="20"/>
                <w:lang w:eastAsia="zh-CN"/>
              </w:rPr>
              <w:t xml:space="preserve"> is used</w:t>
            </w:r>
          </w:p>
          <w:p w14:paraId="10836C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10D6AF7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RAN1#117</w:t>
            </w:r>
          </w:p>
          <w:p w14:paraId="0D55FFF5">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regarding the dynamic range for delay offset reporting </w:t>
            </w:r>
            <w:r>
              <w:rPr>
                <w:rFonts w:hint="default" w:ascii="Times New Roman" w:hAnsi="Times New Roman" w:eastAsia="Calibri" w:cs="Times New Roman"/>
                <w:sz w:val="20"/>
                <w:szCs w:val="20"/>
              </w:rPr>
              <w:t>D</w:t>
            </w:r>
            <w:r>
              <w:rPr>
                <w:rFonts w:hint="default" w:ascii="Times New Roman" w:hAnsi="Times New Roman" w:eastAsia="Calibri" w:cs="Times New Roman"/>
                <w:sz w:val="20"/>
                <w:szCs w:val="20"/>
                <w:vertAlign w:val="subscript"/>
              </w:rPr>
              <w:t>n,offset</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D</w:t>
            </w:r>
            <w:r>
              <w:rPr>
                <w:rFonts w:hint="default" w:ascii="Times New Roman" w:hAnsi="Times New Roman" w:eastAsia="Calibri" w:cs="Times New Roman"/>
                <w:sz w:val="20"/>
                <w:szCs w:val="20"/>
                <w:lang w:eastAsia="zh-CN"/>
              </w:rPr>
              <w:t>, at least support the following values: {0.5CP, CP}</w:t>
            </w:r>
          </w:p>
          <w:p w14:paraId="60344D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33DE66D0">
            <w:pPr>
              <w:snapToGrid w:val="0"/>
              <w:ind w:left="0" w:firstLine="0"/>
              <w:rPr>
                <w:rFonts w:hint="default" w:ascii="Times New Roman" w:hAnsi="Times New Roman" w:eastAsia="Calibri" w:cs="Times New Roman"/>
                <w:sz w:val="20"/>
                <w:szCs w:val="20"/>
                <w:lang w:eastAsia="zh-CN"/>
              </w:rPr>
            </w:pPr>
            <w:r>
              <w:rPr>
                <w:rFonts w:hint="default" w:ascii="Times New Roman" w:hAnsi="Times New Roman" w:eastAsia="Calibri" w:cs="Times New Roman"/>
                <w:sz w:val="20"/>
                <w:szCs w:val="20"/>
              </w:rPr>
              <w:t>For the Rel-19 aperiodic standalone CJT calibration reporting,</w:t>
            </w:r>
            <w:r>
              <w:rPr>
                <w:rFonts w:hint="default" w:ascii="Times New Roman" w:hAnsi="Times New Roman" w:eastAsia="Calibri" w:cs="Times New Roman"/>
                <w:sz w:val="20"/>
                <w:szCs w:val="20"/>
                <w:lang w:eastAsia="zh-CN"/>
              </w:rPr>
              <w:t xml:space="preserve"> regarding the dynamic range for frequency offset reporting </w:t>
            </w:r>
            <w:r>
              <w:rPr>
                <w:rFonts w:hint="default" w:ascii="Times New Roman" w:hAnsi="Times New Roman" w:eastAsia="Calibri" w:cs="Times New Roman"/>
                <w:sz w:val="20"/>
                <w:szCs w:val="20"/>
              </w:rPr>
              <w:t>FO</w:t>
            </w:r>
            <w:r>
              <w:rPr>
                <w:rFonts w:hint="default" w:ascii="Times New Roman" w:hAnsi="Times New Roman" w:eastAsia="Calibri" w:cs="Times New Roman"/>
                <w:sz w:val="20"/>
                <w:szCs w:val="20"/>
                <w:vertAlign w:val="subscript"/>
              </w:rPr>
              <w:t>n</w:t>
            </w:r>
            <w:r>
              <w:rPr>
                <w:rFonts w:hint="default" w:ascii="Times New Roman" w:hAnsi="Times New Roman" w:eastAsia="Calibri" w:cs="Times New Roman"/>
                <w:sz w:val="20"/>
                <w:szCs w:val="20"/>
                <w:lang w:eastAsia="zh-CN"/>
              </w:rPr>
              <w:t>, i.e. A</w:t>
            </w:r>
            <w:r>
              <w:rPr>
                <w:rFonts w:hint="default" w:ascii="Times New Roman" w:hAnsi="Times New Roman" w:eastAsia="Calibri" w:cs="Times New Roman"/>
                <w:sz w:val="20"/>
                <w:szCs w:val="20"/>
                <w:vertAlign w:val="subscript"/>
                <w:lang w:eastAsia="zh-CN"/>
              </w:rPr>
              <w:t>FO</w:t>
            </w:r>
            <w:r>
              <w:rPr>
                <w:rFonts w:hint="default" w:ascii="Times New Roman" w:hAnsi="Times New Roman" w:eastAsia="Calibri" w:cs="Times New Roman"/>
                <w:sz w:val="20"/>
                <w:szCs w:val="20"/>
                <w:lang w:eastAsia="zh-CN"/>
              </w:rPr>
              <w:t>, at least support the following values: {0.1ppm, 0.2ppm}</w:t>
            </w:r>
          </w:p>
          <w:p w14:paraId="62FCFBC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p w14:paraId="09A3A8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color w:val="auto"/>
                <w:sz w:val="20"/>
                <w:szCs w:val="20"/>
                <w:highlight w:val="green"/>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w:t>
            </w:r>
            <w:r>
              <w:rPr>
                <w:rFonts w:hint="eastAsia" w:ascii="Times New Roman" w:hAnsi="Times New Roman" w:cs="Times New Roman"/>
                <w:b/>
                <w:bCs/>
                <w:color w:val="auto"/>
                <w:sz w:val="20"/>
                <w:szCs w:val="20"/>
                <w:highlight w:val="green"/>
                <w:vertAlign w:val="baseline"/>
                <w:lang w:val="en-US" w:eastAsia="zh-CN"/>
              </w:rPr>
              <w:t>8</w:t>
            </w:r>
          </w:p>
          <w:p w14:paraId="395221DC">
            <w:pPr>
              <w:snapToGrid w:val="0"/>
              <w:rPr>
                <w:rFonts w:ascii="Times New Roman" w:hAnsi="Times New Roman" w:eastAsia="Calibri"/>
                <w:sz w:val="20"/>
                <w:szCs w:val="20"/>
              </w:rPr>
            </w:pPr>
            <w:r>
              <w:rPr>
                <w:rFonts w:ascii="Times New Roman" w:hAnsi="Times New Roman" w:eastAsia="Calibri"/>
                <w:sz w:val="20"/>
                <w:szCs w:val="20"/>
              </w:rPr>
              <w:t xml:space="preserve">For the Rel-19 aperiodic standalone CJT calibration reporting, regarding the resolution </w:t>
            </w:r>
            <w:r>
              <w:rPr>
                <w:rFonts w:ascii="Times New Roman" w:hAnsi="Times New Roman" w:eastAsia="Calibri"/>
                <w:sz w:val="20"/>
                <w:szCs w:val="20"/>
                <w:lang w:eastAsia="zh-CN"/>
              </w:rPr>
              <w:t xml:space="preserve">for frequency offset reporting </w:t>
            </w:r>
            <w:r>
              <w:rPr>
                <w:rFonts w:ascii="Times New Roman" w:hAnsi="Times New Roman" w:eastAsia="Calibri"/>
                <w:sz w:val="20"/>
                <w:szCs w:val="20"/>
              </w:rPr>
              <w:t>FO</w:t>
            </w:r>
            <w:r>
              <w:rPr>
                <w:rFonts w:ascii="Times New Roman" w:hAnsi="Times New Roman" w:eastAsia="Calibri"/>
                <w:sz w:val="20"/>
                <w:szCs w:val="20"/>
                <w:vertAlign w:val="subscript"/>
              </w:rPr>
              <w:t>n</w:t>
            </w:r>
            <w:r>
              <w:rPr>
                <w:rFonts w:ascii="Times New Roman" w:hAnsi="Times New Roman" w:eastAsia="Calibri"/>
                <w:sz w:val="20"/>
                <w:szCs w:val="20"/>
              </w:rPr>
              <w:t xml:space="preserve">, additionally support </w:t>
            </w:r>
            <w:r>
              <w:rPr>
                <w:rFonts w:ascii="Times New Roman" w:hAnsi="Times New Roman" w:eastAsia="Calibri"/>
                <w:sz w:val="20"/>
                <w:szCs w:val="20"/>
                <w:lang w:eastAsia="zh-CN"/>
              </w:rPr>
              <w:t>M</w:t>
            </w:r>
            <w:r>
              <w:rPr>
                <w:rFonts w:ascii="Times New Roman" w:hAnsi="Times New Roman" w:eastAsia="Calibri"/>
                <w:sz w:val="20"/>
                <w:szCs w:val="20"/>
                <w:vertAlign w:val="subscript"/>
                <w:lang w:eastAsia="zh-CN"/>
              </w:rPr>
              <w:t>FO</w:t>
            </w:r>
            <w:r>
              <w:rPr>
                <w:rFonts w:ascii="Times New Roman" w:hAnsi="Times New Roman" w:eastAsia="Calibri"/>
                <w:sz w:val="20"/>
                <w:szCs w:val="20"/>
                <w:lang w:eastAsia="zh-CN"/>
              </w:rPr>
              <w:t xml:space="preserve"> = 256.</w:t>
            </w:r>
          </w:p>
          <w:p w14:paraId="512AE00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vertAlign w:val="baseline"/>
                <w:lang w:val="en-US" w:eastAsia="zh-CN"/>
              </w:rPr>
            </w:pPr>
          </w:p>
        </w:tc>
      </w:tr>
    </w:tbl>
    <w:p w14:paraId="603E650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p>
    <w:p w14:paraId="5B7182BE">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 xml:space="preserve">According to RAN1 agreements, it can be seen that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delay offset reporting,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frequency offset (FO) reporting, </w:t>
      </w:r>
      <w:r>
        <w:rPr>
          <w:rFonts w:hint="eastAsia" w:ascii="Times New Roman" w:hAnsi="Times New Roman" w:eastAsia="宋体" w:cs="Times New Roman"/>
          <w:sz w:val="20"/>
          <w:szCs w:val="20"/>
          <w:lang w:val="en-US" w:eastAsia="zh-CN"/>
        </w:rPr>
        <w:t>CJTC</w:t>
      </w:r>
      <w:r>
        <w:rPr>
          <w:rFonts w:hint="default" w:ascii="Times New Roman" w:hAnsi="Times New Roman" w:eastAsia="宋体" w:cs="Times New Roman"/>
          <w:sz w:val="20"/>
          <w:szCs w:val="20"/>
          <w:lang w:val="en-US" w:eastAsia="zh-CN"/>
        </w:rPr>
        <w:t xml:space="preserve"> phase </w:t>
      </w:r>
      <w:r>
        <w:rPr>
          <w:rFonts w:hint="eastAsia" w:ascii="Times New Roman" w:hAnsi="Times New Roman" w:eastAsia="宋体" w:cs="Times New Roman"/>
          <w:sz w:val="20"/>
          <w:szCs w:val="20"/>
          <w:lang w:val="en-US" w:eastAsia="zh-CN"/>
        </w:rPr>
        <w:t>offset</w:t>
      </w:r>
      <w:r>
        <w:rPr>
          <w:rFonts w:hint="default" w:ascii="Times New Roman" w:hAnsi="Times New Roman" w:eastAsia="宋体" w:cs="Times New Roman"/>
          <w:sz w:val="20"/>
          <w:szCs w:val="20"/>
          <w:lang w:val="en-US" w:eastAsia="zh-CN"/>
        </w:rPr>
        <w:t xml:space="preserve"> reporting are </w:t>
      </w:r>
      <w:r>
        <w:rPr>
          <w:rFonts w:hint="default" w:ascii="Times New Roman" w:hAnsi="Times New Roman" w:eastAsia="Calibri" w:cs="Times New Roman"/>
          <w:sz w:val="20"/>
          <w:szCs w:val="20"/>
        </w:rPr>
        <w:t>aperiodic</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Calibri" w:cs="Times New Roman"/>
          <w:sz w:val="20"/>
          <w:szCs w:val="20"/>
        </w:rPr>
        <w:t>reporting</w:t>
      </w:r>
      <w:r>
        <w:rPr>
          <w:rFonts w:hint="eastAsia" w:ascii="Times New Roman" w:hAnsi="Times New Roman" w:eastAsia="宋体" w:cs="Times New Roman"/>
          <w:sz w:val="20"/>
          <w:szCs w:val="20"/>
          <w:lang w:val="en-US" w:eastAsia="zh-CN"/>
        </w:rPr>
        <w:t>. For the impact on RRM performance requirements, more discussion is needed. In Rel-18 MIMO, t</w:t>
      </w:r>
      <w:r>
        <w:rPr>
          <w:rFonts w:hint="default" w:ascii="Times New Roman" w:hAnsi="Times New Roman" w:cs="Times New Roman"/>
          <w:sz w:val="20"/>
          <w:szCs w:val="20"/>
          <w:lang w:eastAsia="zh-CN"/>
        </w:rPr>
        <w:t>ime domain channel property (TDCP) is</w:t>
      </w:r>
      <w:r>
        <w:rPr>
          <w:rFonts w:hint="eastAsia" w:ascii="Times New Roman" w:hAnsi="Times New Roman" w:cs="Times New Roman"/>
          <w:sz w:val="20"/>
          <w:szCs w:val="20"/>
          <w:lang w:val="en-US" w:eastAsia="zh-CN"/>
        </w:rPr>
        <w:t xml:space="preserve"> introduced, which is defined </w:t>
      </w:r>
      <w:r>
        <w:rPr>
          <w:rFonts w:hint="default" w:ascii="Times New Roman" w:hAnsi="Times New Roman" w:cs="Times New Roman"/>
          <w:sz w:val="20"/>
          <w:szCs w:val="20"/>
          <w:lang w:eastAsia="zh-CN"/>
        </w:rPr>
        <w:t xml:space="preserve">as wideband normalized correlation between two CSI-RS transmission occasions, corresponding to CSI-RS resourece(s) from </w:t>
      </w:r>
      <w:r>
        <w:rPr>
          <w:rFonts w:hint="default" w:ascii="Times New Roman" w:hAnsi="Times New Roman" w:cs="Times New Roman"/>
          <w:i/>
          <w:iCs/>
          <w:sz w:val="20"/>
          <w:szCs w:val="20"/>
          <w:lang w:eastAsia="zh-CN"/>
        </w:rPr>
        <w:t>NZP-CSI-RS-ResourceSet(s)</w:t>
      </w:r>
      <w:r>
        <w:rPr>
          <w:rFonts w:hint="default" w:ascii="Times New Roman" w:hAnsi="Times New Roman" w:cs="Times New Roman"/>
          <w:sz w:val="20"/>
          <w:szCs w:val="20"/>
          <w:lang w:eastAsia="zh-CN"/>
        </w:rPr>
        <w:t xml:space="preserve"> configured with higher layer parameter </w:t>
      </w:r>
      <w:r>
        <w:rPr>
          <w:rFonts w:hint="default" w:ascii="Times New Roman" w:hAnsi="Times New Roman" w:cs="Times New Roman"/>
          <w:i/>
          <w:iCs/>
          <w:sz w:val="20"/>
          <w:szCs w:val="20"/>
          <w:lang w:eastAsia="zh-CN"/>
        </w:rPr>
        <w:t>trs-info</w:t>
      </w:r>
      <w:r>
        <w:rPr>
          <w:rFonts w:hint="default" w:ascii="Times New Roman" w:hAnsi="Times New Roman" w:cs="Times New Roman"/>
          <w:sz w:val="20"/>
          <w:szCs w:val="20"/>
          <w:lang w:eastAsia="zh-CN"/>
        </w:rPr>
        <w:t xml:space="preserve">, that are separated by </w:t>
      </w:r>
      <w:r>
        <w:rPr>
          <w:rFonts w:hint="default" w:ascii="Times New Roman" w:hAnsi="Times New Roman" w:cs="Times New Roman"/>
          <w:i/>
          <w:iCs/>
          <w:sz w:val="20"/>
          <w:szCs w:val="20"/>
          <w:lang w:eastAsia="zh-CN"/>
        </w:rPr>
        <w:t>D</w:t>
      </w:r>
      <w:r>
        <w:rPr>
          <w:rFonts w:hint="default" w:ascii="Times New Roman" w:hAnsi="Times New Roman" w:cs="Times New Roman"/>
          <w:i/>
          <w:iCs/>
          <w:sz w:val="20"/>
          <w:szCs w:val="20"/>
          <w:vertAlign w:val="subscript"/>
          <w:lang w:eastAsia="zh-CN"/>
        </w:rPr>
        <w:t>n</w:t>
      </w:r>
      <w:r>
        <w:rPr>
          <w:rFonts w:hint="default" w:ascii="Times New Roman" w:hAnsi="Times New Roman" w:cs="Times New Roman"/>
          <w:sz w:val="20"/>
          <w:szCs w:val="20"/>
          <w:lang w:eastAsia="zh-CN"/>
        </w:rPr>
        <w:t xml:space="preserve"> symbols or slots, depending on the configuration, where </w:t>
      </w:r>
      <w:r>
        <w:rPr>
          <w:rFonts w:hint="default" w:ascii="Times New Roman" w:hAnsi="Times New Roman" w:cs="Times New Roman"/>
          <w:i/>
          <w:iCs/>
          <w:sz w:val="20"/>
          <w:szCs w:val="20"/>
          <w:lang w:eastAsia="zh-CN"/>
        </w:rPr>
        <w:t>D</w:t>
      </w:r>
      <w:r>
        <w:rPr>
          <w:rFonts w:hint="default" w:ascii="Times New Roman" w:hAnsi="Times New Roman" w:cs="Times New Roman"/>
          <w:i/>
          <w:iCs/>
          <w:sz w:val="20"/>
          <w:szCs w:val="20"/>
          <w:vertAlign w:val="subscript"/>
          <w:lang w:eastAsia="zh-CN"/>
        </w:rPr>
        <w:t>n</w:t>
      </w:r>
      <w:r>
        <w:rPr>
          <w:rFonts w:hint="default" w:ascii="Times New Roman" w:hAnsi="Times New Roman" w:cs="Times New Roman"/>
          <w:sz w:val="20"/>
          <w:szCs w:val="20"/>
          <w:lang w:eastAsia="zh-CN"/>
        </w:rPr>
        <w:t xml:space="preserve"> is the n-th delay configured value among </w:t>
      </w:r>
      <w:r>
        <w:rPr>
          <w:rFonts w:hint="default" w:ascii="Times New Roman" w:hAnsi="Times New Roman" w:cs="Times New Roman"/>
          <w:i/>
          <w:iCs/>
          <w:sz w:val="20"/>
          <w:szCs w:val="20"/>
          <w:lang w:eastAsia="zh-CN"/>
        </w:rPr>
        <w:t>DelayD</w:t>
      </w:r>
      <w:r>
        <w:rPr>
          <w:rFonts w:hint="default" w:ascii="Times New Roman" w:hAnsi="Times New Roman" w:cs="Times New Roman"/>
          <w:sz w:val="20"/>
          <w:szCs w:val="20"/>
          <w:lang w:eastAsia="zh-CN"/>
        </w:rPr>
        <w:t xml:space="preserve"> configured delay values {</w:t>
      </w:r>
      <w:r>
        <w:rPr>
          <w:rFonts w:hint="default" w:ascii="Times New Roman" w:hAnsi="Times New Roman" w:cs="Times New Roman"/>
          <w:i/>
          <w:iCs/>
          <w:sz w:val="20"/>
          <w:szCs w:val="20"/>
          <w:lang w:eastAsia="zh-CN"/>
        </w:rPr>
        <w:t>D</w:t>
      </w:r>
      <w:r>
        <w:rPr>
          <w:rFonts w:hint="default" w:ascii="Times New Roman" w:hAnsi="Times New Roman" w:cs="Times New Roman"/>
          <w:sz w:val="20"/>
          <w:szCs w:val="20"/>
          <w:vertAlign w:val="subscript"/>
          <w:lang w:eastAsia="zh-CN"/>
        </w:rPr>
        <w:t>1</w:t>
      </w:r>
      <w:r>
        <w:rPr>
          <w:rFonts w:hint="default" w:ascii="Times New Roman" w:hAnsi="Times New Roman" w:cs="Times New Roman"/>
          <w:sz w:val="20"/>
          <w:szCs w:val="20"/>
          <w:lang w:eastAsia="zh-CN"/>
        </w:rPr>
        <w:t xml:space="preserve">, …, </w:t>
      </w:r>
      <w:r>
        <w:rPr>
          <w:rFonts w:hint="default" w:ascii="Times New Roman" w:hAnsi="Times New Roman" w:cs="Times New Roman"/>
          <w:i/>
          <w:iCs/>
          <w:sz w:val="20"/>
          <w:szCs w:val="20"/>
          <w:lang w:eastAsia="zh-CN"/>
        </w:rPr>
        <w:t>D</w:t>
      </w:r>
      <w:r>
        <w:rPr>
          <w:rFonts w:hint="default" w:ascii="Times New Roman" w:hAnsi="Times New Roman" w:cs="Times New Roman"/>
          <w:sz w:val="20"/>
          <w:szCs w:val="20"/>
          <w:vertAlign w:val="subscript"/>
          <w:lang w:eastAsia="zh-CN"/>
        </w:rPr>
        <w:t>Y</w:t>
      </w:r>
      <w:r>
        <w:rPr>
          <w:rFonts w:hint="default" w:ascii="Times New Roman" w:hAnsi="Times New Roman" w:cs="Times New Roman"/>
          <w:sz w:val="20"/>
          <w:szCs w:val="20"/>
          <w:lang w:eastAsia="zh-CN"/>
        </w:rPr>
        <w:t>} and Y is number of configured delay values.</w:t>
      </w:r>
      <w:r>
        <w:rPr>
          <w:rFonts w:hint="eastAsia" w:ascii="Times New Roman" w:hAnsi="Times New Roman" w:cs="Times New Roman"/>
          <w:sz w:val="20"/>
          <w:szCs w:val="20"/>
          <w:lang w:val="en-US" w:eastAsia="zh-CN"/>
        </w:rPr>
        <w:t xml:space="preserve"> From RRM perspective, TDCP measurement report mapping requirements including amplitude measurement report mapping and phase measurement report mapping are introduced. </w:t>
      </w:r>
      <w:r>
        <w:rPr>
          <w:rFonts w:hint="eastAsia" w:ascii="Times New Roman" w:hAnsi="Times New Roman" w:eastAsia="宋体" w:cs="Times New Roman"/>
          <w:sz w:val="20"/>
          <w:szCs w:val="20"/>
          <w:lang w:val="en-US" w:eastAsia="zh-CN"/>
        </w:rPr>
        <w:t>F</w:t>
      </w:r>
      <w:r>
        <w:rPr>
          <w:rFonts w:hint="default" w:ascii="Times New Roman" w:hAnsi="Times New Roman" w:eastAsia="Calibri" w:cs="Times New Roman"/>
          <w:sz w:val="20"/>
          <w:szCs w:val="20"/>
        </w:rPr>
        <w:t>or</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Calibri" w:cs="Times New Roman"/>
          <w:sz w:val="20"/>
          <w:szCs w:val="20"/>
        </w:rPr>
        <w:t>Rel-19 aperiodic standalone CJT calibration reporting</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s</w:t>
      </w:r>
      <w:r>
        <w:rPr>
          <w:rFonts w:hint="eastAsia" w:ascii="Times New Roman" w:hAnsi="Times New Roman" w:cs="Times New Roman"/>
          <w:sz w:val="20"/>
          <w:szCs w:val="20"/>
          <w:lang w:val="en-US" w:eastAsia="zh-CN"/>
        </w:rPr>
        <w:t xml:space="preserve">imilar as Rel-18 TDCP, at least report mapping need to be specified. RAN1 has some initial agreements on report range and resolution. For </w:t>
      </w:r>
      <w:r>
        <w:rPr>
          <w:rFonts w:hint="default" w:ascii="Times New Roman" w:hAnsi="Times New Roman" w:eastAsia="Calibri" w:cs="Times New Roman"/>
          <w:sz w:val="20"/>
          <w:szCs w:val="20"/>
          <w:lang w:eastAsia="zh-CN"/>
        </w:rPr>
        <w:t>delay offset reporting</w:t>
      </w:r>
      <w:r>
        <w:rPr>
          <w:rFonts w:hint="eastAsia" w:ascii="Times New Roman" w:hAnsi="Times New Roman" w:eastAsia="Calibri" w:cs="Times New Roman"/>
          <w:sz w:val="20"/>
          <w:szCs w:val="20"/>
          <w:lang w:val="en-US" w:eastAsia="zh-CN"/>
        </w:rPr>
        <w:t xml:space="preserve">, the dynamic range at least </w:t>
      </w:r>
      <w:r>
        <w:rPr>
          <w:rFonts w:hint="default" w:ascii="Times New Roman" w:hAnsi="Times New Roman" w:eastAsia="Calibri" w:cs="Times New Roman"/>
          <w:sz w:val="20"/>
          <w:szCs w:val="20"/>
          <w:lang w:eastAsia="zh-CN"/>
        </w:rPr>
        <w:t>support the following values: {0.5CP, CP}</w:t>
      </w:r>
      <w:r>
        <w:rPr>
          <w:rFonts w:hint="eastAsia" w:ascii="Times New Roman" w:hAnsi="Times New Roman" w:eastAsia="Calibri" w:cs="Times New Roman"/>
          <w:sz w:val="20"/>
          <w:szCs w:val="20"/>
          <w:lang w:val="en-US" w:eastAsia="zh-CN"/>
        </w:rPr>
        <w:t xml:space="preserve">. For </w:t>
      </w:r>
      <w:r>
        <w:rPr>
          <w:rFonts w:hint="default" w:ascii="Times New Roman" w:hAnsi="Times New Roman" w:eastAsia="Calibri" w:cs="Times New Roman"/>
          <w:sz w:val="20"/>
          <w:szCs w:val="20"/>
          <w:lang w:eastAsia="zh-CN"/>
        </w:rPr>
        <w:t>frequency offset reporting</w:t>
      </w:r>
      <w:r>
        <w:rPr>
          <w:rFonts w:hint="eastAsia" w:ascii="Times New Roman" w:hAnsi="Times New Roman" w:eastAsia="Calibri" w:cs="Times New Roman"/>
          <w:sz w:val="20"/>
          <w:szCs w:val="20"/>
          <w:lang w:val="en-US" w:eastAsia="zh-CN"/>
        </w:rPr>
        <w:t xml:space="preserve">, the dynamic range </w:t>
      </w:r>
      <w:r>
        <w:rPr>
          <w:rFonts w:hint="default" w:ascii="Times New Roman" w:hAnsi="Times New Roman" w:eastAsia="Calibri" w:cs="Times New Roman"/>
          <w:sz w:val="20"/>
          <w:szCs w:val="20"/>
          <w:lang w:eastAsia="zh-CN"/>
        </w:rPr>
        <w:t>at least support the following values: {0.1ppm, 0.2ppm}</w:t>
      </w:r>
      <w:r>
        <w:rPr>
          <w:rFonts w:hint="eastAsia" w:ascii="Times New Roman" w:hAnsi="Times New Roman" w:eastAsia="Calibri" w:cs="Times New Roman"/>
          <w:sz w:val="20"/>
          <w:szCs w:val="20"/>
          <w:lang w:val="en-US" w:eastAsia="zh-CN"/>
        </w:rPr>
        <w:t xml:space="preserve">. For </w:t>
      </w:r>
      <w:r>
        <w:rPr>
          <w:rFonts w:hint="default" w:ascii="Times New Roman" w:hAnsi="Times New Roman" w:eastAsia="Calibri" w:cs="Times New Roman"/>
          <w:sz w:val="20"/>
          <w:szCs w:val="20"/>
        </w:rPr>
        <w:t xml:space="preserve">phase offset reporting, </w:t>
      </w:r>
      <w:r>
        <w:rPr>
          <w:rFonts w:hint="eastAsia" w:ascii="Times New Roman" w:hAnsi="Times New Roman" w:eastAsia="宋体" w:cs="Times New Roman"/>
          <w:sz w:val="20"/>
          <w:szCs w:val="20"/>
          <w:lang w:val="en-US" w:eastAsia="zh-CN"/>
        </w:rPr>
        <w:t xml:space="preserve">it </w:t>
      </w:r>
      <w:r>
        <w:rPr>
          <w:rFonts w:hint="default" w:ascii="Times New Roman" w:hAnsi="Times New Roman" w:eastAsia="Calibri" w:cs="Times New Roman"/>
          <w:sz w:val="20"/>
          <w:szCs w:val="20"/>
          <w:lang w:eastAsia="zh-CN"/>
        </w:rPr>
        <w:t>indicates a uniformly quantized phase between 0 and</w:t>
      </w:r>
      <w:r>
        <w:rPr>
          <w:rFonts w:hint="default" w:ascii="Symbol" w:hAnsi="Symbol" w:eastAsia="Calibri" w:cs="Symbol"/>
          <w:sz w:val="20"/>
          <w:szCs w:val="20"/>
          <w:lang w:eastAsia="zh-CN"/>
        </w:rPr>
        <w:t xml:space="preserve"> </w:t>
      </w:r>
      <w:r>
        <w:rPr>
          <w:rFonts w:hint="default" w:ascii="Symbol" w:hAnsi="Symbol" w:cs="Symbol"/>
          <w:sz w:val="20"/>
          <w:szCs w:val="20"/>
          <w:lang w:eastAsia="zh-CN"/>
        </w:rPr>
        <w:t>2</w:t>
      </w:r>
      <w:r>
        <w:rPr>
          <w:rFonts w:hint="eastAsia" w:ascii="Symbol" w:hAnsi="Symbol" w:cs="Symbol"/>
          <w:sz w:val="20"/>
          <w:szCs w:val="20"/>
          <w:lang w:val="en-US" w:eastAsia="zh-CN"/>
        </w:rPr>
        <w:t>.</w:t>
      </w:r>
      <w:r>
        <w:rPr>
          <w:rFonts w:hint="default" w:ascii="Times New Roman" w:hAnsi="Times New Roman" w:cs="Times New Roman"/>
          <w:sz w:val="20"/>
          <w:szCs w:val="20"/>
          <w:lang w:val="en-US" w:eastAsia="zh-CN"/>
        </w:rPr>
        <w:t xml:space="preserve"> For </w:t>
      </w:r>
      <w:r>
        <w:rPr>
          <w:rFonts w:hint="eastAsia" w:ascii="Times New Roman" w:hAnsi="Times New Roman" w:eastAsia="Calibri" w:cs="Times New Roman"/>
          <w:sz w:val="20"/>
          <w:szCs w:val="20"/>
          <w:lang w:val="en-US" w:eastAsia="zh-CN"/>
        </w:rPr>
        <w:t xml:space="preserve">reporting range of these </w:t>
      </w:r>
      <w:r>
        <w:rPr>
          <w:rFonts w:hint="default" w:ascii="Times New Roman" w:hAnsi="Times New Roman" w:cs="Times New Roman"/>
          <w:sz w:val="20"/>
          <w:szCs w:val="20"/>
          <w:lang w:val="en-US" w:eastAsia="zh-CN"/>
        </w:rPr>
        <w:t>report</w:t>
      </w:r>
      <w:r>
        <w:rPr>
          <w:rFonts w:hint="eastAsia" w:ascii="Times New Roman" w:hAnsi="Times New Roman" w:cs="Times New Roman"/>
          <w:sz w:val="20"/>
          <w:szCs w:val="20"/>
          <w:lang w:val="en-US" w:eastAsia="zh-CN"/>
        </w:rPr>
        <w:t xml:space="preserve">ing type, whether other values are supported will be discussed later. </w:t>
      </w:r>
      <w:r>
        <w:rPr>
          <w:rFonts w:hint="default" w:ascii="Times New Roman" w:hAnsi="Times New Roman" w:cs="Times New Roman"/>
          <w:sz w:val="20"/>
          <w:szCs w:val="20"/>
          <w:lang w:val="en-US" w:eastAsia="zh-CN"/>
        </w:rPr>
        <w:t>Regarding</w:t>
      </w:r>
      <w:r>
        <w:rPr>
          <w:rFonts w:hint="eastAsia" w:ascii="Times New Roman" w:hAnsi="Times New Roman" w:cs="Times New Roman"/>
          <w:sz w:val="20"/>
          <w:szCs w:val="20"/>
          <w:lang w:val="en-US" w:eastAsia="zh-CN"/>
        </w:rPr>
        <w:t xml:space="preserve"> </w:t>
      </w:r>
      <w:r>
        <w:rPr>
          <w:rFonts w:hint="default" w:ascii="Times New Roman" w:hAnsi="Times New Roman" w:eastAsia="Calibri" w:cs="Times New Roman"/>
          <w:sz w:val="20"/>
          <w:szCs w:val="20"/>
          <w:lang w:eastAsia="zh-CN"/>
        </w:rPr>
        <w:t>resolution parameters</w:t>
      </w:r>
      <w:r>
        <w:rPr>
          <w:rFonts w:hint="eastAsia" w:ascii="Times New Roman" w:hAnsi="Times New Roman" w:eastAsia="Calibri" w:cs="Times New Roman"/>
          <w:sz w:val="20"/>
          <w:szCs w:val="20"/>
          <w:lang w:val="en-US" w:eastAsia="zh-CN"/>
        </w:rPr>
        <w:t xml:space="preserve">, {16, 32, 256} are supported for frequency offset reporting and </w:t>
      </w:r>
      <w:r>
        <w:rPr>
          <w:rFonts w:hint="default" w:ascii="Times New Roman" w:hAnsi="Times New Roman" w:eastAsia="Calibri" w:cs="Times New Roman"/>
          <w:sz w:val="20"/>
          <w:szCs w:val="20"/>
        </w:rPr>
        <w:t>phase offset reporting</w:t>
      </w:r>
      <w:r>
        <w:rPr>
          <w:rFonts w:hint="eastAsia" w:ascii="Times New Roman" w:hAnsi="Times New Roman" w:eastAsia="宋体" w:cs="Times New Roman"/>
          <w:sz w:val="20"/>
          <w:szCs w:val="20"/>
          <w:lang w:val="en-US" w:eastAsia="zh-CN"/>
        </w:rPr>
        <w:t xml:space="preserve">, and </w:t>
      </w:r>
      <w:r>
        <w:rPr>
          <w:rFonts w:hint="default" w:ascii="Times New Roman" w:hAnsi="Times New Roman" w:cs="Times New Roman"/>
          <w:sz w:val="20"/>
          <w:szCs w:val="20"/>
          <w:lang w:eastAsia="zh-CN"/>
        </w:rPr>
        <w:t>{32, 64}</w:t>
      </w:r>
      <w:r>
        <w:rPr>
          <w:rFonts w:hint="eastAsia" w:ascii="Times New Roman" w:hAnsi="Times New Roman" w:cs="Times New Roman"/>
          <w:sz w:val="20"/>
          <w:szCs w:val="20"/>
          <w:lang w:val="en-US" w:eastAsia="zh-CN"/>
        </w:rPr>
        <w:t xml:space="preserve"> are supported for delay offset reporting. Based on above RAN1 agreements, RAN4 can discuss how to define report mapping for delay offset reporting, frequency offset reporting and phase offset reporting. Except report mapping, accuracy requirements also need to be considered to guarantee measurement performance, but whether and how to specify the requirements are pending on RAN1 further agreements.</w:t>
      </w:r>
    </w:p>
    <w:p w14:paraId="635B46B4">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宋体" w:cs="Times New Roman"/>
          <w:b/>
          <w:bCs/>
          <w:i/>
          <w:iCs/>
          <w:sz w:val="20"/>
          <w:szCs w:val="20"/>
          <w:lang w:val="en-US" w:eastAsia="zh-CN"/>
        </w:rPr>
        <w:t xml:space="preserve">UE reporting enhancement for CJT calibration, it is proposed to define report mapping for </w:t>
      </w:r>
      <w:r>
        <w:rPr>
          <w:rFonts w:hint="eastAsia" w:ascii="Times New Roman" w:hAnsi="Times New Roman" w:cs="Times New Roman"/>
          <w:b/>
          <w:bCs/>
          <w:i/>
          <w:iCs/>
          <w:sz w:val="20"/>
          <w:szCs w:val="20"/>
          <w:lang w:val="en-US" w:eastAsia="zh-CN"/>
        </w:rPr>
        <w:t>delay offset reporting, frequency offset reporting and phase offset reporting.</w:t>
      </w:r>
    </w:p>
    <w:p w14:paraId="10218CB6">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2.2 Enhancements for asymmetric DL sTRP/UL mTRP scenarios</w:t>
      </w:r>
    </w:p>
    <w:p w14:paraId="731CF6FB">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According to RAN1 agreements [6], if UE is configured with PL offset in joint/UL TCI state(s), UE does not expect to receive SSB from UL TRP(s), else, UE may expect to receive SSB from UL TRP(s). It can be seen that if PL offset is not configured, UL TRP can transmit SSB. </w:t>
      </w:r>
    </w:p>
    <w:p w14:paraId="4CF7C11E">
      <w:pPr>
        <w:snapToGrid w:val="0"/>
        <w:spacing w:before="120" w:beforeLines="50" w:line="288" w:lineRule="auto"/>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From deployment point of view, UL TRP(s) transmit SSB is one of our typical deployment in </w:t>
      </w:r>
      <w:r>
        <w:rPr>
          <w:rFonts w:hint="default" w:ascii="Times New Roman" w:hAnsi="Times New Roman" w:cs="Times New Roman"/>
          <w:sz w:val="20"/>
          <w:szCs w:val="20"/>
        </w:rPr>
        <w:t>HetNet</w:t>
      </w:r>
      <w:r>
        <w:rPr>
          <w:rFonts w:hint="eastAsia" w:ascii="Times New Roman" w:hAnsi="Times New Roman" w:cs="Times New Roman"/>
          <w:sz w:val="20"/>
          <w:szCs w:val="20"/>
          <w:lang w:val="en-US" w:eastAsia="zh-CN"/>
        </w:rPr>
        <w:t xml:space="preserve"> scenario.  </w:t>
      </w:r>
    </w:p>
    <w:p w14:paraId="0522A8B8">
      <w:pPr>
        <w:snapToGrid w:val="0"/>
        <w:spacing w:before="120" w:beforeLines="50" w:line="288" w:lineRule="auto"/>
        <w:jc w:val="both"/>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ICBM is in use since normal TRP instead of UL-only TRP are deloyed i</w:t>
      </w:r>
      <w:r>
        <w:rPr>
          <w:rFonts w:hint="default" w:ascii="Times New Roman" w:hAnsi="Times New Roman" w:cs="Times New Roman"/>
          <w:sz w:val="20"/>
          <w:szCs w:val="20"/>
        </w:rPr>
        <w:t>n</w:t>
      </w:r>
      <w:r>
        <w:rPr>
          <w:rFonts w:hint="eastAsia" w:ascii="Times New Roman" w:hAnsi="Times New Roman" w:cs="Times New Roman"/>
          <w:sz w:val="20"/>
          <w:szCs w:val="20"/>
          <w:lang w:val="en-US" w:eastAsia="zh-CN"/>
        </w:rPr>
        <w:t xml:space="preserve"> our </w:t>
      </w:r>
      <w:r>
        <w:rPr>
          <w:rFonts w:hint="default" w:ascii="Times New Roman" w:hAnsi="Times New Roman" w:cs="Times New Roman"/>
          <w:sz w:val="20"/>
          <w:szCs w:val="20"/>
        </w:rPr>
        <w:t>HetNet deployment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rPr>
        <w:t>s shown in Fig.</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xml:space="preserve">, indoor pico site and outdoor macro site are deployed at same frequency with different cell ID (Inter-cell). Both indoor pico site and outdoor macro site transmit SSBs with different cell ID. </w:t>
      </w:r>
      <w:r>
        <w:rPr>
          <w:rFonts w:hint="eastAsia" w:ascii="Times New Roman" w:hAnsi="Times New Roman" w:cs="Times New Roman"/>
          <w:sz w:val="20"/>
          <w:szCs w:val="20"/>
          <w:lang w:val="en-US" w:eastAsia="zh-CN"/>
        </w:rPr>
        <w:t xml:space="preserve">UE transmit PUCCH/PUSCH/SRS to the TRP with additional PCI, and UE receive PDCCH/PDSCH only from normal TRP. The reason to have this deployment is that outdoor macro site has severe interference to indoor pico site, then outdoor macro site can be used for DL transmission, while indoor pico site has better coverage for UL, then indoor pico site can be used for UL reception. </w:t>
      </w:r>
    </w:p>
    <w:p w14:paraId="104E9C8F">
      <w:pPr>
        <w:snapToGrid w:val="0"/>
        <w:spacing w:before="120" w:beforeLines="50" w:line="288" w:lineRule="auto"/>
        <w:jc w:val="center"/>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0" distR="0">
            <wp:extent cx="2769235" cy="1753870"/>
            <wp:effectExtent l="0" t="0" r="0" b="11430"/>
            <wp:docPr id="2" name="图片 7" descr="图示, 文本,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图示, 文本, 箭头&#10;&#10;描述已自动生成"/>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774656" cy="1757093"/>
                    </a:xfrm>
                    <a:prstGeom prst="rect">
                      <a:avLst/>
                    </a:prstGeom>
                    <a:noFill/>
                  </pic:spPr>
                </pic:pic>
              </a:graphicData>
            </a:graphic>
          </wp:inline>
        </w:drawing>
      </w:r>
    </w:p>
    <w:p w14:paraId="75370580">
      <w:pPr>
        <w:snapToGrid w:val="0"/>
        <w:spacing w:line="288" w:lineRule="auto"/>
        <w:jc w:val="center"/>
        <w:rPr>
          <w:rFonts w:hint="default" w:ascii="Times New Roman" w:hAnsi="Times New Roman" w:cs="Times New Roman"/>
          <w:sz w:val="20"/>
          <w:szCs w:val="20"/>
        </w:rPr>
      </w:pPr>
      <w:r>
        <w:rPr>
          <w:rFonts w:hint="default" w:ascii="Times New Roman" w:hAnsi="Times New Roman" w:cs="Times New Roman"/>
          <w:sz w:val="20"/>
          <w:szCs w:val="20"/>
        </w:rPr>
        <w:t>Fig.</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xml:space="preserve"> Inter-cell deployment with asymmetric DL and UL transmission</w:t>
      </w:r>
    </w:p>
    <w:p w14:paraId="1C6ECE9E">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eastAsia" w:ascii="Times New Roman" w:hAnsi="Times New Roman" w:eastAsia="宋体" w:cs="Times New Roman"/>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D78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1A556CB">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2-1: Whether RAN4 need to consider the scenario when UE is/isn’t configured with pathloss offset?</w:t>
            </w:r>
          </w:p>
          <w:p w14:paraId="3562CE3B">
            <w:pPr>
              <w:snapToGrid w:val="0"/>
              <w:spacing w:after="120"/>
              <w:rPr>
                <w:rFonts w:hint="default" w:ascii="Times New Roman" w:hAnsi="Times New Roman" w:cs="Times New Roman" w:eastAsiaTheme="minorEastAsia"/>
                <w:bCs/>
                <w:sz w:val="20"/>
                <w:szCs w:val="20"/>
                <w:lang w:eastAsia="zh-CN"/>
              </w:rPr>
            </w:pPr>
            <w:r>
              <w:rPr>
                <w:rFonts w:hint="default" w:ascii="Times New Roman" w:hAnsi="Times New Roman" w:cs="Times New Roman" w:eastAsiaTheme="minorEastAsia"/>
                <w:bCs/>
                <w:sz w:val="20"/>
                <w:szCs w:val="20"/>
                <w:lang w:eastAsia="zh-CN"/>
              </w:rPr>
              <w:t>Agreement:</w:t>
            </w:r>
          </w:p>
          <w:p w14:paraId="2A8E754B">
            <w:pPr>
              <w:snapToGrid w:val="0"/>
              <w:spacing w:after="120"/>
              <w:ind w:left="420"/>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bCs/>
                <w:sz w:val="20"/>
                <w:szCs w:val="20"/>
                <w:lang w:eastAsia="zh-CN"/>
              </w:rPr>
              <w:t xml:space="preserve">For </w:t>
            </w:r>
            <w:r>
              <w:rPr>
                <w:rFonts w:hint="default" w:ascii="Times New Roman" w:hAnsi="Times New Roman" w:cs="Times New Roman"/>
                <w:sz w:val="20"/>
                <w:szCs w:val="20"/>
                <w:lang w:eastAsia="zh-CN"/>
              </w:rPr>
              <w:t xml:space="preserve">Scenario#1: RAN4 define the timing requirements for FR1, FFS on FR2. </w:t>
            </w:r>
          </w:p>
          <w:p w14:paraId="36367924">
            <w:pPr>
              <w:snapToGrid w:val="0"/>
              <w:spacing w:after="120"/>
              <w:ind w:left="4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Scenario#2, FFS on whether to reuse the legacy timing requirements (Rel-18 m-DCI two TA with updated or not).  </w:t>
            </w:r>
          </w:p>
          <w:p w14:paraId="62D22B13">
            <w:pPr>
              <w:snapToGrid w:val="0"/>
              <w:spacing w:after="120"/>
              <w:ind w:left="4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common understanding: the RAN1 agreements in RAN1#118bis “</w:t>
            </w:r>
            <w:r>
              <w:rPr>
                <w:rFonts w:hint="default" w:ascii="Times New Roman" w:hAnsi="Times New Roman" w:cs="Times New Roman"/>
                <w:sz w:val="20"/>
                <w:szCs w:val="20"/>
                <w:lang w:val="en-CA"/>
              </w:rPr>
              <w:t>One downlink reference timing is supported and applied to both TAGs.</w:t>
            </w:r>
            <w:r>
              <w:rPr>
                <w:rFonts w:hint="default" w:ascii="Times New Roman" w:hAnsi="Times New Roman" w:cs="Times New Roman"/>
                <w:sz w:val="20"/>
                <w:szCs w:val="20"/>
                <w:lang w:eastAsia="zh-CN"/>
              </w:rPr>
              <w:t xml:space="preserve">” are </w:t>
            </w:r>
            <w:r>
              <w:rPr>
                <w:rFonts w:hint="default" w:ascii="Times New Roman" w:hAnsi="Times New Roman" w:cs="Times New Roman"/>
                <w:sz w:val="20"/>
                <w:szCs w:val="20"/>
                <w:u w:val="single"/>
                <w:lang w:eastAsia="zh-CN"/>
              </w:rPr>
              <w:t>currently</w:t>
            </w:r>
            <w:r>
              <w:rPr>
                <w:rFonts w:hint="default" w:ascii="Times New Roman" w:hAnsi="Times New Roman" w:cs="Times New Roman"/>
                <w:sz w:val="20"/>
                <w:szCs w:val="20"/>
                <w:lang w:eastAsia="zh-CN"/>
              </w:rPr>
              <w:t xml:space="preserve"> only applied for Scenario #1.</w:t>
            </w:r>
          </w:p>
          <w:p w14:paraId="33CB5F4E">
            <w:pPr>
              <w:pStyle w:val="12"/>
              <w:numPr>
                <w:ilvl w:val="0"/>
                <w:numId w:val="14"/>
              </w:numPr>
              <w:overflowPunct/>
              <w:autoSpaceDE/>
              <w:autoSpaceDN/>
              <w:adjustRightInd/>
              <w:snapToGrid w:val="0"/>
              <w:spacing w:after="120" w:line="276" w:lineRule="auto"/>
              <w:ind w:left="84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Scenario#1: if UE is configured with PL offset in joint/UL TCI state(s), UE does not expect to receive SSB from UL TRP(s)</w:t>
            </w:r>
          </w:p>
          <w:p w14:paraId="1C14004A">
            <w:pPr>
              <w:pStyle w:val="12"/>
              <w:numPr>
                <w:ilvl w:val="0"/>
                <w:numId w:val="14"/>
              </w:numPr>
              <w:overflowPunct/>
              <w:autoSpaceDE/>
              <w:autoSpaceDN/>
              <w:adjustRightInd/>
              <w:snapToGrid w:val="0"/>
              <w:spacing w:after="120" w:line="276" w:lineRule="auto"/>
              <w:ind w:left="84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Scenario#2: if UE is not configured with PL offset in joint/UL TCI state(s), UE expect to receive SSB from UL TRP(s).</w:t>
            </w:r>
          </w:p>
          <w:p w14:paraId="465BDF43">
            <w:pPr>
              <w:snapToGrid w:val="0"/>
              <w:spacing w:after="120"/>
              <w:ind w:left="420"/>
              <w:rPr>
                <w:rFonts w:hint="default" w:ascii="Times New Roman" w:hAnsi="Times New Roman" w:eastAsia="等线" w:cs="Times New Roman"/>
                <w:sz w:val="20"/>
                <w:szCs w:val="20"/>
                <w:u w:val="single"/>
                <w:lang w:eastAsia="zh-CN"/>
              </w:rPr>
            </w:pPr>
            <w:r>
              <w:rPr>
                <w:rFonts w:hint="default" w:ascii="Times New Roman" w:hAnsi="Times New Roman" w:eastAsia="等线" w:cs="Times New Roman"/>
                <w:sz w:val="20"/>
                <w:szCs w:val="20"/>
                <w:u w:val="single"/>
                <w:lang w:eastAsia="zh-CN"/>
              </w:rPr>
              <w:t>Note 1: the scenario 1 and 2 are based on RAN1 LS.</w:t>
            </w:r>
          </w:p>
          <w:p w14:paraId="6763F956">
            <w:pPr>
              <w:snapToGrid w:val="0"/>
              <w:spacing w:after="120"/>
              <w:ind w:left="420"/>
              <w:rPr>
                <w:rFonts w:hint="default" w:ascii="Times New Roman" w:hAnsi="Times New Roman" w:eastAsia="等线" w:cs="Times New Roman"/>
                <w:sz w:val="20"/>
                <w:szCs w:val="20"/>
                <w:u w:val="single"/>
                <w:lang w:eastAsia="zh-CN"/>
              </w:rPr>
            </w:pPr>
            <w:r>
              <w:rPr>
                <w:rFonts w:hint="default" w:ascii="Times New Roman" w:hAnsi="Times New Roman" w:eastAsia="等线" w:cs="Times New Roman"/>
                <w:sz w:val="20"/>
                <w:szCs w:val="20"/>
                <w:u w:val="single"/>
                <w:lang w:eastAsia="zh-CN"/>
              </w:rPr>
              <w:t>Note 2: The above agreements apply when 2TA are configured.</w:t>
            </w:r>
          </w:p>
          <w:p w14:paraId="0918BDD0">
            <w:pPr>
              <w:rPr>
                <w:rFonts w:hint="default" w:ascii="Times New Roman" w:hAnsi="Times New Roman" w:cs="Times New Roman"/>
                <w:b/>
                <w:sz w:val="20"/>
                <w:szCs w:val="20"/>
                <w:u w:val="single"/>
                <w:lang w:eastAsia="ko-KR"/>
              </w:rPr>
            </w:pPr>
          </w:p>
          <w:p w14:paraId="44BDB9CF">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2-2: How to update the RRM requirements for 2TA enhancement for asymmetric DL sTRP/ UL mTRP?</w:t>
            </w:r>
          </w:p>
          <w:p w14:paraId="652ECB68">
            <w:pPr>
              <w:snapToGrid w:val="0"/>
              <w:spacing w:after="120"/>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Agreement: </w:t>
            </w:r>
          </w:p>
          <w:p w14:paraId="4F3E4BEB">
            <w:pPr>
              <w:numPr>
                <w:ilvl w:val="0"/>
                <w:numId w:val="15"/>
              </w:numPr>
              <w:overflowPunct/>
              <w:autoSpaceDE/>
              <w:adjustRightInd/>
              <w:spacing w:after="120" w:line="276" w:lineRule="auto"/>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 xml:space="preserve">For scenario 1, </w:t>
            </w:r>
            <w:r>
              <w:rPr>
                <w:rFonts w:hint="default" w:ascii="Times New Roman" w:hAnsi="Times New Roman" w:cs="Times New Roman"/>
                <w:sz w:val="20"/>
                <w:szCs w:val="20"/>
                <w:u w:val="single"/>
                <w:lang w:eastAsia="zh-CN"/>
              </w:rPr>
              <w:t>for both TAGs,</w:t>
            </w:r>
            <w:r>
              <w:rPr>
                <w:rFonts w:hint="default" w:ascii="Times New Roman" w:hAnsi="Times New Roman" w:cs="Times New Roman"/>
                <w:sz w:val="20"/>
                <w:szCs w:val="20"/>
                <w:lang w:eastAsia="zh-CN"/>
              </w:rPr>
              <w:t xml:space="preserve"> the uplink transmission(s) timing for PUCCH/PUSCH/SRS take place (N</w:t>
            </w:r>
            <w:r>
              <w:rPr>
                <w:rFonts w:hint="default" w:ascii="Times New Roman" w:hAnsi="Times New Roman" w:cs="Times New Roman"/>
                <w:sz w:val="20"/>
                <w:szCs w:val="20"/>
                <w:vertAlign w:val="subscript"/>
                <w:lang w:eastAsia="zh-CN"/>
              </w:rPr>
              <w:t>TA</w:t>
            </w:r>
            <w:r>
              <w:rPr>
                <w:rFonts w:hint="default" w:ascii="Times New Roman" w:hAnsi="Times New Roman" w:cs="Times New Roman"/>
                <w:sz w:val="20"/>
                <w:szCs w:val="20"/>
                <w:lang w:eastAsia="zh-CN"/>
              </w:rPr>
              <w:t xml:space="preserve"> + N</w:t>
            </w:r>
            <w:r>
              <w:rPr>
                <w:rFonts w:hint="default" w:ascii="Times New Roman" w:hAnsi="Times New Roman" w:cs="Times New Roman"/>
                <w:sz w:val="20"/>
                <w:szCs w:val="20"/>
                <w:vertAlign w:val="subscript"/>
                <w:lang w:eastAsia="zh-CN"/>
              </w:rPr>
              <w:t>TA</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vertAlign w:val="subscript"/>
                <w:lang w:eastAsia="zh-CN"/>
              </w:rPr>
              <w:t>offset</w:t>
            </w:r>
            <w:r>
              <w:rPr>
                <w:rFonts w:hint="default" w:ascii="Times New Roman" w:hAnsi="Times New Roman" w:cs="Times New Roman"/>
                <w:sz w:val="20"/>
                <w:szCs w:val="20"/>
                <w:lang w:eastAsia="zh-CN"/>
              </w:rPr>
              <w:t>) x Tc before the reception of the first detected path in time of one of the corresponding downlink reference signal(s) of the reference cell associated with DL or Joint TCI state.</w:t>
            </w:r>
          </w:p>
          <w:p w14:paraId="2861A85C">
            <w:pPr>
              <w:numPr>
                <w:ilvl w:val="1"/>
                <w:numId w:val="15"/>
              </w:numPr>
              <w:overflowPunct/>
              <w:autoSpaceDE/>
              <w:adjustRightInd/>
              <w:spacing w:after="120" w:line="276"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sz w:val="20"/>
                <w:szCs w:val="20"/>
                <w:u w:val="single"/>
                <w:lang w:eastAsia="zh-CN"/>
              </w:rPr>
              <w:t>The above agreement can be revisited if not aligned with RAN1 further agreement.</w:t>
            </w:r>
          </w:p>
        </w:tc>
      </w:tr>
    </w:tbl>
    <w:p w14:paraId="47C3514A">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9"/>
        <w:rPr>
          <w:rFonts w:hint="eastAsia" w:ascii="Times New Roman" w:hAnsi="Times New Roman"/>
          <w:b/>
          <w:bCs/>
          <w:sz w:val="20"/>
          <w:szCs w:val="20"/>
          <w:lang w:val="en-US" w:eastAsia="zh-CN"/>
        </w:rPr>
      </w:pPr>
    </w:p>
    <w:p w14:paraId="40B6C0E5">
      <w:pPr>
        <w:tabs>
          <w:tab w:val="left" w:pos="1134"/>
        </w:tabs>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宋体" w:cs="Times New Roman"/>
          <w:sz w:val="20"/>
          <w:szCs w:val="20"/>
          <w:lang w:val="en-US" w:eastAsia="zh-CN"/>
        </w:rPr>
        <w:t>According to the</w:t>
      </w:r>
      <w:r>
        <w:rPr>
          <w:rFonts w:hint="eastAsia" w:ascii="Times New Roman" w:hAnsi="Times New Roman" w:cs="Times New Roman"/>
          <w:sz w:val="20"/>
          <w:szCs w:val="20"/>
          <w:lang w:val="en-US" w:eastAsia="zh-CN"/>
        </w:rPr>
        <w:t xml:space="preserve"> discussion in last meeting, companies are not clear on whether RAN1 agreements in RAN1#118bis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One downlink reference timing is supported and applied to both TAGs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are applied for the scenario that UE is not configured with PL offset in joint/UL TCI state(s) and UE may expect to receive SSB from UL TRP(s).</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RAN4 sent LS to RAN1 for clarification [4]. How to update the RRM requirements support 2TA, e.g. UE transmit timing requirements, is related with DL reference timing. It is proposed to wait for RAN1 reply LS.</w:t>
      </w:r>
    </w:p>
    <w:p w14:paraId="33958ACE">
      <w:pPr>
        <w:tabs>
          <w:tab w:val="left" w:pos="1134"/>
        </w:tabs>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2TA enhancement, it is proposed to define RRM requirements for scenario 2 (UE is not configured with PL offset in joint/UL TCI state(s), UE expect to receive SSB from UL TRP(s)), and how to define the requirements can wait for RAN1 reply. </w:t>
      </w:r>
    </w:p>
    <w:p w14:paraId="79B76D04">
      <w:pPr>
        <w:tabs>
          <w:tab w:val="left" w:pos="1134"/>
        </w:tabs>
        <w:spacing w:after="180" w:line="240" w:lineRule="exact"/>
        <w:rPr>
          <w:rFonts w:hint="eastAsia" w:ascii="Times New Roman" w:hAnsi="Times New Roman" w:cs="Times New Roman"/>
          <w:b/>
          <w:bCs/>
          <w:i/>
          <w:iCs/>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26B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525278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1-2-2-4: RRM core impacts of active uplink TCI state switching delay for unified TCI?</w:t>
            </w:r>
          </w:p>
          <w:p w14:paraId="1D6925C8">
            <w:pPr>
              <w:pStyle w:val="12"/>
              <w:numPr>
                <w:ilvl w:val="0"/>
                <w:numId w:val="15"/>
              </w:numPr>
              <w:overflowPunct/>
              <w:autoSpaceDE/>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7BEEB9E4">
            <w:pPr>
              <w:pStyle w:val="12"/>
              <w:numPr>
                <w:ilvl w:val="1"/>
                <w:numId w:val="15"/>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1 (Qualcomm):</w:t>
            </w:r>
          </w:p>
          <w:p w14:paraId="105E6295">
            <w:pPr>
              <w:pStyle w:val="12"/>
              <w:numPr>
                <w:ilvl w:val="2"/>
                <w:numId w:val="1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focus for FR2 only on the case that UL TRP transmits SSB (scenario 2).</w:t>
            </w:r>
          </w:p>
          <w:p w14:paraId="0FF8A042">
            <w:pPr>
              <w:pStyle w:val="12"/>
              <w:numPr>
                <w:ilvl w:val="2"/>
                <w:numId w:val="1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In case that the UL TRP transmits SSB (scenario 2), existing requirements for uplink TCI state switching can be reused, and no additional requirements need to be defined.</w:t>
            </w:r>
          </w:p>
          <w:p w14:paraId="7B580076">
            <w:pPr>
              <w:pStyle w:val="12"/>
              <w:numPr>
                <w:ilvl w:val="2"/>
                <w:numId w:val="1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only focus on the case that the UL TRPs transmit NCD-SSBs.</w:t>
            </w:r>
          </w:p>
          <w:p w14:paraId="0586F3F1">
            <w:pPr>
              <w:pStyle w:val="12"/>
              <w:numPr>
                <w:ilvl w:val="1"/>
                <w:numId w:val="15"/>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2 (Apple, </w:t>
            </w:r>
            <w:r>
              <w:rPr>
                <w:rFonts w:hint="default" w:ascii="Times New Roman" w:hAnsi="Times New Roman" w:cs="Times New Roman"/>
                <w:sz w:val="20"/>
                <w:szCs w:val="20"/>
                <w:lang w:eastAsia="zh-CN"/>
              </w:rPr>
              <w:t>MediaTek, vivo</w:t>
            </w:r>
            <w:r>
              <w:rPr>
                <w:rFonts w:hint="default" w:ascii="Times New Roman" w:hAnsi="Times New Roman" w:eastAsia="宋体" w:cs="Times New Roman"/>
                <w:sz w:val="20"/>
                <w:szCs w:val="20"/>
                <w:lang w:eastAsia="zh-CN"/>
              </w:rPr>
              <w:t>): No RRM impacts on UL TCI state switching delay requirement for unified TCI states.</w:t>
            </w:r>
          </w:p>
          <w:p w14:paraId="4C3A9318">
            <w:pPr>
              <w:pStyle w:val="12"/>
              <w:numPr>
                <w:ilvl w:val="1"/>
                <w:numId w:val="15"/>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3 (Huawei): No RRM impacts when PL offset is not configured in joint/UL TCI state(s).</w:t>
            </w:r>
          </w:p>
          <w:p w14:paraId="2006CC9B">
            <w:pPr>
              <w:pStyle w:val="12"/>
              <w:numPr>
                <w:ilvl w:val="1"/>
                <w:numId w:val="15"/>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4 (vivo): RAN4 does not specify the RRM requirements for UL-only TRP where UE does not expect to receive SSB for FR2-1 in Rel-19.</w:t>
            </w:r>
          </w:p>
          <w:p w14:paraId="5D1DF8A2">
            <w:pPr>
              <w:pStyle w:val="12"/>
              <w:numPr>
                <w:ilvl w:val="1"/>
                <w:numId w:val="15"/>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5 (Samsung): RRM core impacts of active uplink TCI state switching delay for unified TCI</w:t>
            </w:r>
          </w:p>
          <w:p w14:paraId="61D8359E">
            <w:pPr>
              <w:pStyle w:val="12"/>
              <w:numPr>
                <w:ilvl w:val="2"/>
                <w:numId w:val="1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FR1: If joint TCI is switching in FR1 mentioned above, there is no difference from legacy, the joint TCI state switching is the same as legacy. No RRM impacts.</w:t>
            </w:r>
          </w:p>
          <w:p w14:paraId="26F8445B">
            <w:pPr>
              <w:pStyle w:val="12"/>
              <w:numPr>
                <w:ilvl w:val="2"/>
                <w:numId w:val="1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FR2: Depends on the conclusion of whether to specify the UL TCI state switching delay base on SRS.</w:t>
            </w:r>
          </w:p>
          <w:p w14:paraId="2E605E75">
            <w:pPr>
              <w:pStyle w:val="12"/>
              <w:numPr>
                <w:ilvl w:val="1"/>
                <w:numId w:val="15"/>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6 (ZTE): When applying R17/18 unified TCI state framework to support 2TA in asymmetric scenario,</w:t>
            </w:r>
          </w:p>
          <w:p w14:paraId="42147815">
            <w:pPr>
              <w:pStyle w:val="12"/>
              <w:numPr>
                <w:ilvl w:val="2"/>
                <w:numId w:val="15"/>
              </w:numPr>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there is SSB received from the UL-only TRP, both existing R17/18 joint and UL TCI state could be used.</w:t>
            </w:r>
          </w:p>
          <w:p w14:paraId="264FA5B5">
            <w:pPr>
              <w:pStyle w:val="12"/>
              <w:numPr>
                <w:ilvl w:val="2"/>
                <w:numId w:val="1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Otherwise, only the UL TCI state of existing R17/18 could be used for the UL-only TRP.</w:t>
            </w:r>
          </w:p>
          <w:p w14:paraId="390A6D0A">
            <w:pPr>
              <w:pStyle w:val="12"/>
              <w:numPr>
                <w:ilvl w:val="1"/>
                <w:numId w:val="15"/>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7 (CMCC): </w:t>
            </w:r>
          </w:p>
          <w:p w14:paraId="6D669662">
            <w:pPr>
              <w:pStyle w:val="12"/>
              <w:numPr>
                <w:ilvl w:val="2"/>
                <w:numId w:val="1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case that UL TRP transmit SSB, it is proposed that legacy UL TCI state switching delay requirements can be reused.</w:t>
            </w:r>
          </w:p>
          <w:p w14:paraId="55A6DE86">
            <w:pPr>
              <w:pStyle w:val="12"/>
              <w:numPr>
                <w:ilvl w:val="1"/>
                <w:numId w:val="15"/>
              </w:numPr>
              <w:overflowPunct/>
              <w:autoSpaceDE/>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8: (</w:t>
            </w:r>
            <w:r>
              <w:rPr>
                <w:rFonts w:hint="default" w:ascii="Times New Roman" w:hAnsi="Times New Roman" w:cs="Times New Roman"/>
                <w:sz w:val="20"/>
                <w:szCs w:val="20"/>
                <w:lang w:eastAsia="zh-CN"/>
              </w:rPr>
              <w:t>Ericsson, Nokia</w:t>
            </w:r>
            <w:r>
              <w:rPr>
                <w:rFonts w:hint="default" w:ascii="Times New Roman" w:hAnsi="Times New Roman" w:eastAsia="宋体" w:cs="Times New Roman"/>
                <w:sz w:val="20"/>
                <w:szCs w:val="20"/>
                <w:lang w:eastAsia="zh-CN"/>
              </w:rPr>
              <w:t xml:space="preserve">): </w:t>
            </w:r>
            <w:r>
              <w:rPr>
                <w:rFonts w:hint="default" w:ascii="Times New Roman" w:hAnsi="Times New Roman" w:cs="Times New Roman"/>
                <w:sz w:val="20"/>
                <w:szCs w:val="20"/>
                <w:lang w:eastAsia="zh-CN"/>
              </w:rPr>
              <w:t>RAN4 to specify UL TCI state switching requirements for UL only TRP.</w:t>
            </w:r>
          </w:p>
          <w:p w14:paraId="1B799669">
            <w:pPr>
              <w:pStyle w:val="12"/>
              <w:numPr>
                <w:ilvl w:val="2"/>
                <w:numId w:val="15"/>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Proposal 4a: (Nokia)</w:t>
            </w:r>
          </w:p>
          <w:p w14:paraId="71E8B788">
            <w:pPr>
              <w:pStyle w:val="12"/>
              <w:numPr>
                <w:ilvl w:val="3"/>
                <w:numId w:val="15"/>
              </w:numPr>
              <w:overflowPunct/>
              <w:autoSpaceDE/>
              <w:adjustRightInd/>
              <w:spacing w:after="120"/>
              <w:ind w:left="2708"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asymmetric DL/UL scenario, reuse Rel-17 and Rel-18 unified TCI single-DCI mTRP TCI state switching delay requirements for DL and UL TCI state switch.</w:t>
            </w:r>
          </w:p>
          <w:p w14:paraId="4F1B6ED5">
            <w:pPr>
              <w:pStyle w:val="12"/>
              <w:numPr>
                <w:ilvl w:val="3"/>
                <w:numId w:val="15"/>
              </w:numPr>
              <w:overflowPunct/>
              <w:autoSpaceDE/>
              <w:adjustRightInd/>
              <w:spacing w:after="120"/>
              <w:ind w:left="2708"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Update the unified UL TCI state switching delay requirements to be applicable when the target UL TCI state is associated with an uplink reference signal.</w:t>
            </w:r>
          </w:p>
          <w:p w14:paraId="2C18D820">
            <w:pPr>
              <w:pStyle w:val="12"/>
              <w:numPr>
                <w:ilvl w:val="3"/>
                <w:numId w:val="15"/>
              </w:numPr>
              <w:overflowPunct/>
              <w:autoSpaceDE/>
              <w:adjustRightInd/>
              <w:spacing w:after="120"/>
              <w:ind w:left="2708"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lang w:eastAsia="zh-CN"/>
              </w:rPr>
              <w:t>RAN4 to define UL TCI state switch delay requirements for an uplink only TRP with no distinction between known and unknown TCI state.</w:t>
            </w:r>
          </w:p>
        </w:tc>
      </w:tr>
    </w:tbl>
    <w:p w14:paraId="43A6FA96">
      <w:pPr>
        <w:tabs>
          <w:tab w:val="left" w:pos="1134"/>
        </w:tabs>
        <w:spacing w:after="180" w:line="240" w:lineRule="exact"/>
        <w:rPr>
          <w:rFonts w:hint="eastAsia" w:ascii="Times New Roman" w:hAnsi="Times New Roman" w:eastAsia="宋体" w:cs="Times New Roman"/>
          <w:sz w:val="20"/>
          <w:szCs w:val="20"/>
          <w:lang w:val="en-US" w:eastAsia="zh-CN"/>
        </w:rPr>
      </w:pPr>
    </w:p>
    <w:p w14:paraId="031A106E">
      <w:pPr>
        <w:tabs>
          <w:tab w:val="left" w:pos="1134"/>
        </w:tabs>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scenario 2 (UE is not configured with PL offset in joint/UL TCI state(s), UE expect to receive SSB from UL TRP(s)), the solution to derive </w:t>
      </w:r>
      <w:r>
        <w:rPr>
          <w:rFonts w:hint="default" w:ascii="Times New Roman" w:hAnsi="Times New Roman" w:cs="Times New Roman"/>
          <w:sz w:val="20"/>
          <w:szCs w:val="20"/>
        </w:rPr>
        <w:t xml:space="preserve">pathloss for </w:t>
      </w:r>
      <w:r>
        <w:rPr>
          <w:rFonts w:hint="eastAsia" w:ascii="Times New Roman" w:hAnsi="Times New Roman" w:cs="Times New Roman"/>
          <w:sz w:val="20"/>
          <w:szCs w:val="20"/>
          <w:lang w:val="en-US" w:eastAsia="zh-CN"/>
        </w:rPr>
        <w:t xml:space="preserve">UL TRP baed on the pathloss from RSs from normal TRP and pathloss offset is not applicable. While for this case, since SSB is transmitted from UL TRP (i.e. TRP with additional PCI), the SSB can be used </w:t>
      </w:r>
      <w:r>
        <w:rPr>
          <w:rFonts w:hint="default" w:ascii="Times New Roman" w:hAnsi="Times New Roman" w:cs="Times New Roman"/>
          <w:sz w:val="20"/>
          <w:szCs w:val="20"/>
        </w:rPr>
        <w:t xml:space="preserve">as pathloss RS when UE transmits PUCCH and PUSCH to </w:t>
      </w:r>
      <w:r>
        <w:rPr>
          <w:rFonts w:hint="eastAsia" w:ascii="Times New Roman" w:hAnsi="Times New Roman" w:cs="Times New Roman"/>
          <w:sz w:val="20"/>
          <w:szCs w:val="20"/>
          <w:lang w:val="en-US" w:eastAsia="zh-CN"/>
        </w:rPr>
        <w:t xml:space="preserve">UL TRP. RAN1 also agreed that SSB from UL-TRP can be used for PL RS for PRACH. Taking above into account, legacy requirements can be reused.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DD7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1077FC">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highlight w:val="green"/>
                <w:lang w:val="en-US"/>
              </w:rPr>
              <w:t>Agreement</w:t>
            </w:r>
            <w:r>
              <w:rPr>
                <w:rFonts w:hint="default" w:ascii="Times New Roman" w:hAnsi="Times New Roman" w:cs="Times New Roman"/>
                <w:sz w:val="20"/>
                <w:szCs w:val="20"/>
                <w:highlight w:val="green"/>
                <w:lang w:val="en-US" w:eastAsia="zh-CN"/>
              </w:rPr>
              <w:t xml:space="preserve"> in RAN1#120 meeting</w:t>
            </w:r>
          </w:p>
          <w:p w14:paraId="5A00A342">
            <w:pPr>
              <w:jc w:val="both"/>
              <w:rPr>
                <w:rFonts w:hint="default" w:ascii="Times New Roman" w:hAnsi="Times New Roman" w:eastAsia="Malgun Gothic" w:cs="Times New Roman"/>
                <w:sz w:val="20"/>
                <w:szCs w:val="20"/>
                <w:lang w:eastAsia="zh-CN"/>
              </w:rPr>
            </w:pPr>
            <w:r>
              <w:rPr>
                <w:rFonts w:hint="default" w:ascii="Times New Roman" w:hAnsi="Times New Roman" w:eastAsia="等线" w:cs="Times New Roman"/>
                <w:sz w:val="20"/>
                <w:szCs w:val="20"/>
                <w:lang w:val="en-CA" w:eastAsia="zh-CN"/>
              </w:rPr>
              <w:t xml:space="preserve">For a UE provided with </w:t>
            </w:r>
            <w:r>
              <w:rPr>
                <w:rFonts w:hint="default" w:ascii="Times New Roman" w:hAnsi="Times New Roman" w:eastAsia="Malgun Gothic" w:cs="Times New Roman"/>
                <w:i/>
                <w:iCs/>
                <w:sz w:val="20"/>
                <w:szCs w:val="20"/>
                <w:lang w:eastAsia="zh-CN"/>
              </w:rPr>
              <w:t>SSB-MTC-AddtionalPCI</w:t>
            </w:r>
            <w:r>
              <w:rPr>
                <w:rFonts w:hint="default" w:ascii="Times New Roman" w:hAnsi="Times New Roman" w:eastAsia="Malgun Gothic" w:cs="Times New Roman"/>
                <w:sz w:val="20"/>
                <w:szCs w:val="20"/>
                <w:lang w:eastAsia="zh-CN"/>
              </w:rPr>
              <w:t xml:space="preserve"> and not configured with multi-DCI based mTRP, support to reuse the DCI field ‘PRACH association indicator’ in DCI format 1_0 to indicate PL RS for PDCCH-order PRACH:</w:t>
            </w:r>
          </w:p>
          <w:p w14:paraId="27559CC2">
            <w:pPr>
              <w:numPr>
                <w:ilvl w:val="0"/>
                <w:numId w:val="16"/>
              </w:numPr>
              <w:jc w:val="both"/>
              <w:rPr>
                <w:rFonts w:hint="default" w:ascii="Times New Roman" w:hAnsi="Times New Roman" w:eastAsia="等线" w:cs="Times New Roman"/>
                <w:sz w:val="20"/>
                <w:szCs w:val="20"/>
                <w:lang w:val="en-CA" w:eastAsia="zh-CN"/>
              </w:rPr>
            </w:pPr>
            <w:r>
              <w:rPr>
                <w:rFonts w:hint="default" w:ascii="Times New Roman" w:hAnsi="Times New Roman" w:eastAsia="等线" w:cs="Times New Roman"/>
                <w:sz w:val="20"/>
                <w:szCs w:val="20"/>
                <w:lang w:val="en-CA" w:eastAsia="zh-CN"/>
              </w:rPr>
              <w:t>The bit field index 0 of this field indicates the DL RS that DMRS of PDCCH order DCI is QCLed with is used as PL RS for PRACH;</w:t>
            </w:r>
          </w:p>
          <w:p w14:paraId="7BCC7E9F">
            <w:pPr>
              <w:numPr>
                <w:ilvl w:val="0"/>
                <w:numId w:val="16"/>
              </w:numPr>
              <w:jc w:val="both"/>
              <w:rPr>
                <w:rFonts w:hint="default" w:ascii="Times New Roman" w:hAnsi="Times New Roman" w:eastAsia="等线" w:cs="Times New Roman"/>
                <w:sz w:val="20"/>
                <w:szCs w:val="20"/>
                <w:lang w:val="en-CA" w:eastAsia="zh-CN"/>
              </w:rPr>
            </w:pPr>
            <w:r>
              <w:rPr>
                <w:rFonts w:hint="default" w:ascii="Times New Roman" w:hAnsi="Times New Roman" w:eastAsia="等线" w:cs="Times New Roman"/>
                <w:sz w:val="20"/>
                <w:szCs w:val="20"/>
                <w:lang w:val="en-CA" w:eastAsia="zh-CN"/>
              </w:rPr>
              <w:t>The bit field index 1 of this field is mapped to the additional PCI associated with the active TCI states and indicates the indicated SSB in this DCI is used as PL RS for PRACH:</w:t>
            </w:r>
          </w:p>
          <w:p w14:paraId="7AD5177E">
            <w:pPr>
              <w:numPr>
                <w:ilvl w:val="1"/>
                <w:numId w:val="16"/>
              </w:numPr>
              <w:jc w:val="both"/>
              <w:rPr>
                <w:rFonts w:hint="default" w:ascii="Times New Roman" w:hAnsi="Times New Roman" w:eastAsia="等线" w:cs="Times New Roman"/>
                <w:sz w:val="20"/>
                <w:szCs w:val="20"/>
                <w:lang w:val="en-CA" w:eastAsia="zh-CN"/>
              </w:rPr>
            </w:pPr>
            <w:r>
              <w:rPr>
                <w:rFonts w:hint="default" w:ascii="Times New Roman" w:hAnsi="Times New Roman" w:eastAsia="等线" w:cs="Times New Roman"/>
                <w:sz w:val="20"/>
                <w:szCs w:val="20"/>
                <w:lang w:val="en-CA" w:eastAsia="zh-CN"/>
              </w:rPr>
              <w:t>In this case, the PRACH configuration associated with addition PCI is used.</w:t>
            </w:r>
          </w:p>
          <w:p w14:paraId="5805A5DA">
            <w:pPr>
              <w:numPr>
                <w:ilvl w:val="0"/>
                <w:numId w:val="16"/>
              </w:numPr>
              <w:jc w:val="both"/>
              <w:rPr>
                <w:rFonts w:hint="default" w:ascii="Times New Roman" w:hAnsi="Times New Roman" w:cs="Times New Roman"/>
                <w:b/>
                <w:bCs/>
                <w:sz w:val="20"/>
                <w:szCs w:val="20"/>
                <w:vertAlign w:val="baseline"/>
                <w:lang w:val="en-US" w:eastAsia="zh-CN"/>
              </w:rPr>
            </w:pPr>
            <w:r>
              <w:rPr>
                <w:rFonts w:hint="default" w:ascii="Times New Roman" w:hAnsi="Times New Roman" w:eastAsia="等线" w:cs="Times New Roman"/>
                <w:sz w:val="20"/>
                <w:szCs w:val="20"/>
                <w:lang w:val="en-CA" w:eastAsia="zh-CN"/>
              </w:rPr>
              <w:t>This DCI field is present when the corresponding RRC parameter is configured and multi-DCI based mTRP is not configured.</w:t>
            </w:r>
          </w:p>
        </w:tc>
      </w:tr>
    </w:tbl>
    <w:p w14:paraId="7EC20F1D">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9"/>
        <w:rPr>
          <w:rFonts w:hint="eastAsia" w:ascii="Times New Roman" w:hAnsi="Times New Roman"/>
          <w:b/>
          <w:bCs/>
          <w:sz w:val="20"/>
          <w:szCs w:val="20"/>
          <w:lang w:val="en-US" w:eastAsia="zh-CN"/>
        </w:rPr>
      </w:pPr>
    </w:p>
    <w:p w14:paraId="34C19804">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3: for scenario 2 (UL TRP transmit SSB), </w:t>
      </w:r>
      <w:r>
        <w:rPr>
          <w:rFonts w:hint="eastAsia" w:ascii="Times New Roman" w:hAnsi="Times New Roman" w:cs="Times New Roman"/>
          <w:b/>
          <w:bCs/>
          <w:i/>
          <w:iCs/>
          <w:sz w:val="20"/>
          <w:szCs w:val="20"/>
          <w:highlight w:val="none"/>
          <w:lang w:val="en-US" w:eastAsia="zh-CN"/>
        </w:rPr>
        <w:t xml:space="preserve">it is proposed that legacy </w:t>
      </w:r>
      <w:r>
        <w:rPr>
          <w:rFonts w:hint="default" w:ascii="Times New Roman" w:hAnsi="Times New Roman" w:eastAsia="宋体" w:cs="Times New Roman"/>
          <w:b/>
          <w:bCs/>
          <w:i/>
          <w:iCs/>
          <w:sz w:val="20"/>
          <w:szCs w:val="20"/>
          <w:highlight w:val="none"/>
          <w:lang w:eastAsia="zh-CN"/>
        </w:rPr>
        <w:t>UL TCI state switching delay requirement</w:t>
      </w:r>
      <w:r>
        <w:rPr>
          <w:rFonts w:hint="eastAsia" w:ascii="Times New Roman" w:hAnsi="Times New Roman" w:cs="Times New Roman"/>
          <w:b/>
          <w:bCs/>
          <w:i/>
          <w:iCs/>
          <w:sz w:val="20"/>
          <w:szCs w:val="20"/>
          <w:highlight w:val="none"/>
          <w:lang w:val="en-US" w:eastAsia="zh-CN"/>
        </w:rPr>
        <w:t>s can be reused.</w:t>
      </w:r>
    </w:p>
    <w:p w14:paraId="001F08F6">
      <w:pPr>
        <w:keepNext w:val="0"/>
        <w:keepLines w:val="0"/>
        <w:pageBreakBefore w:val="0"/>
        <w:widowControl w:val="0"/>
        <w:kinsoku/>
        <w:wordWrap/>
        <w:overflowPunct/>
        <w:topLinePunct w:val="0"/>
        <w:autoSpaceDE/>
        <w:autoSpaceDN/>
        <w:bidi w:val="0"/>
        <w:adjustRightInd/>
        <w:snapToGrid w:val="0"/>
        <w:spacing w:after="180"/>
        <w:ind w:left="0" w:firstLine="0"/>
        <w:textAlignment w:val="auto"/>
        <w:rPr>
          <w:rFonts w:hint="default" w:ascii="Times New Roman" w:hAnsi="Times New Roman" w:eastAsia="宋体" w:cs="Times New Roman"/>
          <w:sz w:val="20"/>
          <w:szCs w:val="20"/>
          <w:lang w:val="en-US" w:eastAsia="zh-CN"/>
        </w:rPr>
      </w:pPr>
    </w:p>
    <w:bookmarkEnd w:id="9"/>
    <w:bookmarkEnd w:id="10"/>
    <w:p w14:paraId="3D408D4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D56FF1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requirements on UE reporting enhancement for CJT calibration and enhancements for asymmetric DL sTRP/UL mTRP scenarios</w:t>
      </w:r>
      <w:r>
        <w:rPr>
          <w:rFonts w:hint="eastAsia" w:ascii="Times New Roman" w:hAnsi="Times New Roman"/>
          <w:sz w:val="20"/>
          <w:szCs w:val="20"/>
          <w:highlight w:val="none"/>
        </w:rPr>
        <w:t>. The proposals are:</w:t>
      </w:r>
    </w:p>
    <w:p w14:paraId="0BB87389">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for </w:t>
      </w:r>
      <w:r>
        <w:rPr>
          <w:rFonts w:hint="eastAsia" w:ascii="Times New Roman" w:hAnsi="Times New Roman" w:eastAsia="宋体" w:cs="Times New Roman"/>
          <w:b/>
          <w:bCs/>
          <w:i/>
          <w:iCs/>
          <w:sz w:val="20"/>
          <w:szCs w:val="20"/>
          <w:lang w:val="en-US" w:eastAsia="zh-CN"/>
        </w:rPr>
        <w:t xml:space="preserve">UE reporting enhancement for CJT calibration, it is proposed to define report mapping for </w:t>
      </w:r>
      <w:r>
        <w:rPr>
          <w:rFonts w:hint="eastAsia" w:ascii="Times New Roman" w:hAnsi="Times New Roman" w:cs="Times New Roman"/>
          <w:b/>
          <w:bCs/>
          <w:i/>
          <w:iCs/>
          <w:sz w:val="20"/>
          <w:szCs w:val="20"/>
          <w:lang w:val="en-US" w:eastAsia="zh-CN"/>
        </w:rPr>
        <w:t>delay offset reporting, frequency offset reporting and phase offset reporting.</w:t>
      </w:r>
    </w:p>
    <w:p w14:paraId="4E8A3C64">
      <w:pPr>
        <w:tabs>
          <w:tab w:val="left" w:pos="1134"/>
        </w:tabs>
        <w:spacing w:after="180" w:line="240" w:lineRule="exact"/>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2TA enhancement, it is proposed to define RRM requirements for scenario 2 (UE is not configured with PL offset in joint/UL TCI state(s), UE expect to receive SSB from UL TRP(s)), and how to define the requirements can wait for RAN1 reply. </w:t>
      </w:r>
    </w:p>
    <w:p w14:paraId="7A2AAFC3">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3: for scenario 2 (UL TRP transmit SSB), </w:t>
      </w:r>
      <w:r>
        <w:rPr>
          <w:rFonts w:hint="eastAsia" w:ascii="Times New Roman" w:hAnsi="Times New Roman" w:cs="Times New Roman"/>
          <w:b/>
          <w:bCs/>
          <w:i/>
          <w:iCs/>
          <w:sz w:val="20"/>
          <w:szCs w:val="20"/>
          <w:highlight w:val="none"/>
          <w:lang w:val="en-US" w:eastAsia="zh-CN"/>
        </w:rPr>
        <w:t xml:space="preserve">it is proposed that legacy </w:t>
      </w:r>
      <w:r>
        <w:rPr>
          <w:rFonts w:hint="default" w:ascii="Times New Roman" w:hAnsi="Times New Roman" w:eastAsia="宋体" w:cs="Times New Roman"/>
          <w:b/>
          <w:bCs/>
          <w:i/>
          <w:iCs/>
          <w:sz w:val="20"/>
          <w:szCs w:val="20"/>
          <w:highlight w:val="none"/>
          <w:lang w:eastAsia="zh-CN"/>
        </w:rPr>
        <w:t>UL TCI state switching delay requirement</w:t>
      </w:r>
      <w:r>
        <w:rPr>
          <w:rFonts w:hint="eastAsia" w:ascii="Times New Roman" w:hAnsi="Times New Roman" w:cs="Times New Roman"/>
          <w:b/>
          <w:bCs/>
          <w:i/>
          <w:iCs/>
          <w:sz w:val="20"/>
          <w:szCs w:val="20"/>
          <w:highlight w:val="none"/>
          <w:lang w:val="en-US" w:eastAsia="zh-CN"/>
        </w:rPr>
        <w:t>s can be reused.</w:t>
      </w:r>
    </w:p>
    <w:p w14:paraId="0A13CF0F">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i/>
          <w:iCs/>
          <w:sz w:val="20"/>
          <w:szCs w:val="20"/>
          <w:highlight w:val="none"/>
          <w:lang w:val="en-US" w:eastAsia="zh-CN"/>
        </w:rPr>
      </w:pPr>
    </w:p>
    <w:p w14:paraId="0A6DE77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1980034">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w:t>
      </w:r>
      <w:r>
        <w:rPr>
          <w:rFonts w:hint="default" w:ascii="Times New Roman" w:hAnsi="Times New Roman" w:eastAsia="宋体" w:cs="Times New Roman"/>
          <w:b w:val="0"/>
          <w:sz w:val="20"/>
          <w:lang w:val="en-US" w:eastAsia="zh-CN"/>
        </w:rPr>
        <w:t>34007</w:t>
      </w:r>
      <w:r>
        <w:rPr>
          <w:rFonts w:hint="default" w:ascii="Times New Roman" w:hAnsi="Times New Roman" w:eastAsia="宋体" w:cs="Times New Roman"/>
          <w:b w:val="0"/>
          <w:sz w:val="20"/>
          <w:lang w:eastAsia="zh-CN"/>
        </w:rPr>
        <w:t>, New WID: NR MIMO Phase 5</w:t>
      </w:r>
    </w:p>
    <w:p w14:paraId="1068FC56">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5C026041">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R4-250259</w:t>
      </w:r>
      <w:r>
        <w:rPr>
          <w:rFonts w:hint="eastAsia" w:ascii="Times New Roman" w:hAnsi="Times New Roman" w:eastAsia="宋体" w:cs="Times New Roman"/>
          <w:b w:val="0"/>
          <w:sz w:val="20"/>
          <w:lang w:val="en-US" w:eastAsia="zh-CN"/>
        </w:rPr>
        <w:t xml:space="preserve">6,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7AE2A1B0">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R4-2502667</w:t>
      </w:r>
      <w:r>
        <w:rPr>
          <w:rFonts w:hint="eastAsia" w:ascii="Times New Roman" w:hAnsi="Times New Roman" w:eastAsia="宋体" w:cs="Times New Roman"/>
          <w:b w:val="0"/>
          <w:sz w:val="20"/>
          <w:lang w:val="en-US" w:eastAsia="zh-CN"/>
        </w:rPr>
        <w:t>, LS on DL timing reference to support two TA enhancement for asymmetric DL sTRP/ UL mTRP</w:t>
      </w:r>
    </w:p>
    <w:p w14:paraId="3530594E">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R4-2420108</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0E4212A6">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R1-2410870</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Reply to RAN4 LS on UE RF issues for Rel-19 MIMO Enhancement</w:t>
      </w:r>
    </w:p>
    <w:p w14:paraId="27112BF3">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R4-2416921</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 (Part2)</w:t>
      </w:r>
      <w:r>
        <w:rPr>
          <w:rFonts w:hint="eastAsia" w:ascii="Times New Roman" w:hAnsi="Times New Roman" w:eastAsia="宋体" w:cs="Times New Roman"/>
          <w:b w:val="0"/>
          <w:sz w:val="20"/>
          <w:lang w:val="en-US" w:eastAsia="zh-CN"/>
        </w:rPr>
        <w:t>, MediaTek</w:t>
      </w:r>
    </w:p>
    <w:p w14:paraId="47AF1826">
      <w:pPr>
        <w:pStyle w:val="13"/>
        <w:keepNext w:val="0"/>
        <w:keepLines w:val="0"/>
        <w:pageBreakBefore w:val="0"/>
        <w:framePr w:wrap="auto" w:vAnchor="margin" w:hAnchor="text" w:yAlign="inline"/>
        <w:widowControl w:val="0"/>
        <w:numPr>
          <w:ilvl w:val="0"/>
          <w:numId w:val="17"/>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20B8873F">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0C47029B">
      <w:pPr>
        <w:pStyle w:val="13"/>
        <w:framePr w:wrap="auto" w:vAnchor="margin" w:hAnchor="text" w:yAlign="inline"/>
        <w:ind w:right="400"/>
        <w:jc w:val="both"/>
        <w:rPr>
          <w:rFonts w:ascii="Times" w:hAnsi="Times" w:eastAsia="宋体"/>
          <w:b w:val="0"/>
          <w:sz w:val="20"/>
          <w:lang w:eastAsia="zh-CN"/>
        </w:rPr>
      </w:pPr>
    </w:p>
    <w:p w14:paraId="3D5D040E">
      <w:pPr>
        <w:pStyle w:val="13"/>
        <w:framePr w:wrap="auto" w:vAnchor="margin" w:hAnchor="text" w:yAlign="inline"/>
        <w:ind w:right="400"/>
        <w:jc w:val="both"/>
        <w:rPr>
          <w:rFonts w:hint="eastAsia" w:ascii="Times" w:hAnsi="Times" w:eastAsia="宋体"/>
          <w:b w:val="0"/>
          <w:sz w:val="20"/>
          <w:lang w:val="en-US" w:eastAsia="zh-CN"/>
        </w:rPr>
      </w:pPr>
    </w:p>
    <w:p w14:paraId="43B0761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45A2A"/>
    <w:multiLevelType w:val="multilevel"/>
    <w:tmpl w:val="01845A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2432758"/>
    <w:multiLevelType w:val="multilevel"/>
    <w:tmpl w:val="22432758"/>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40B44AA"/>
    <w:multiLevelType w:val="multilevel"/>
    <w:tmpl w:val="340B44AA"/>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57F501D"/>
    <w:multiLevelType w:val="multilevel"/>
    <w:tmpl w:val="457F50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7F82E78"/>
    <w:multiLevelType w:val="multilevel"/>
    <w:tmpl w:val="47F82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0546005"/>
    <w:multiLevelType w:val="multilevel"/>
    <w:tmpl w:val="505460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023700B"/>
    <w:multiLevelType w:val="multilevel"/>
    <w:tmpl w:val="602370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253689D"/>
    <w:multiLevelType w:val="multilevel"/>
    <w:tmpl w:val="625368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6B51439B"/>
    <w:multiLevelType w:val="multilevel"/>
    <w:tmpl w:val="6B5143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5"/>
  </w:num>
  <w:num w:numId="2">
    <w:abstractNumId w:val="3"/>
  </w:num>
  <w:num w:numId="3">
    <w:abstractNumId w:val="13"/>
  </w:num>
  <w:num w:numId="4">
    <w:abstractNumId w:val="16"/>
  </w:num>
  <w:num w:numId="5">
    <w:abstractNumId w:val="6"/>
  </w:num>
  <w:num w:numId="6">
    <w:abstractNumId w:val="10"/>
  </w:num>
  <w:num w:numId="7">
    <w:abstractNumId w:val="14"/>
  </w:num>
  <w:num w:numId="8">
    <w:abstractNumId w:val="0"/>
  </w:num>
  <w:num w:numId="9">
    <w:abstractNumId w:val="8"/>
  </w:num>
  <w:num w:numId="10">
    <w:abstractNumId w:val="11"/>
  </w:num>
  <w:num w:numId="11">
    <w:abstractNumId w:val="5"/>
  </w:num>
  <w:num w:numId="12">
    <w:abstractNumId w:val="2"/>
  </w:num>
  <w:num w:numId="13">
    <w:abstractNumId w:val="12"/>
  </w:num>
  <w:num w:numId="14">
    <w:abstractNumId w:val="4"/>
  </w:num>
  <w:num w:numId="15">
    <w:abstractNumId w:val="9"/>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119C5"/>
    <w:rsid w:val="060025E6"/>
    <w:rsid w:val="0882554E"/>
    <w:rsid w:val="08F438BE"/>
    <w:rsid w:val="08FF54D2"/>
    <w:rsid w:val="0B416FFB"/>
    <w:rsid w:val="107D25B5"/>
    <w:rsid w:val="123553DF"/>
    <w:rsid w:val="130962A5"/>
    <w:rsid w:val="15A15D31"/>
    <w:rsid w:val="176E20C4"/>
    <w:rsid w:val="18565AE1"/>
    <w:rsid w:val="1B1F438E"/>
    <w:rsid w:val="202A27D1"/>
    <w:rsid w:val="215C6521"/>
    <w:rsid w:val="23B21D9E"/>
    <w:rsid w:val="247E09A1"/>
    <w:rsid w:val="258C072F"/>
    <w:rsid w:val="25BB1EE5"/>
    <w:rsid w:val="2648377C"/>
    <w:rsid w:val="266C7402"/>
    <w:rsid w:val="26A32F4D"/>
    <w:rsid w:val="28C13CF8"/>
    <w:rsid w:val="290F208E"/>
    <w:rsid w:val="2A736F8A"/>
    <w:rsid w:val="2D0447D1"/>
    <w:rsid w:val="2EBC10AF"/>
    <w:rsid w:val="375E755A"/>
    <w:rsid w:val="37B3112A"/>
    <w:rsid w:val="3BFC0B7A"/>
    <w:rsid w:val="3CA66EC4"/>
    <w:rsid w:val="3EAD4D9F"/>
    <w:rsid w:val="3F88218E"/>
    <w:rsid w:val="44901EBB"/>
    <w:rsid w:val="46E4575A"/>
    <w:rsid w:val="49382EE0"/>
    <w:rsid w:val="4A0B58F7"/>
    <w:rsid w:val="50022CAA"/>
    <w:rsid w:val="51A92185"/>
    <w:rsid w:val="5491550A"/>
    <w:rsid w:val="554E3689"/>
    <w:rsid w:val="59727D3C"/>
    <w:rsid w:val="599C4367"/>
    <w:rsid w:val="62B9193F"/>
    <w:rsid w:val="64864E63"/>
    <w:rsid w:val="66927307"/>
    <w:rsid w:val="66CD52C3"/>
    <w:rsid w:val="686D4100"/>
    <w:rsid w:val="69FC0F8B"/>
    <w:rsid w:val="6A933B55"/>
    <w:rsid w:val="6DAD1F79"/>
    <w:rsid w:val="70F26E7F"/>
    <w:rsid w:val="724A7E11"/>
    <w:rsid w:val="72B77140"/>
    <w:rsid w:val="72E5509D"/>
    <w:rsid w:val="732B6081"/>
    <w:rsid w:val="73D2718A"/>
    <w:rsid w:val="75CA7394"/>
    <w:rsid w:val="783201C2"/>
    <w:rsid w:val="79E65289"/>
    <w:rsid w:val="7FBB4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8"/>
    <w:qFormat/>
    <w:uiPriority w:val="0"/>
  </w:style>
  <w:style w:type="paragraph" w:customStyle="1" w:styleId="15">
    <w:name w:val="0 Main text"/>
    <w:basedOn w:val="1"/>
    <w:qFormat/>
    <w:uiPriority w:val="0"/>
    <w:pPr>
      <w:jc w:val="both"/>
    </w:pPr>
    <w:rPr>
      <w:rFonts w:ascii="Times New Roman" w:hAnsi="Times New Roman" w:eastAsiaTheme="minorEastAsia" w:cstheme="minorBidi"/>
      <w:kern w:val="2"/>
      <w:sz w:val="22"/>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Jingjing Chen_CMCC</cp:lastModifiedBy>
  <dcterms:modified xsi:type="dcterms:W3CDTF">2025-03-28T07:26:10Z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C96B7865D4B2457DBFDBE90785180E7B</vt:lpwstr>
  </property>
</Properties>
</file>